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BECV</w:t>
      </w:r>
    </w:p>
    <w:p>
      <w:r>
        <w:rPr>
          <w:color w:val="555555"/>
          <w:sz w:val="18"/>
        </w:rPr>
        <w:t xml:space="preserve">BEHG-Carbon-Leakage-Verordnung</w:t>
      </w:r>
    </w:p>
    <w:p>
      <w:r>
        <w:rPr>
          <w:color w:val="555555"/>
          <w:sz w:val="18"/>
        </w:rPr>
        <w:t xml:space="preserve">Stand: 29.07.2021 (konsolidierte Textfassung, kein amtliches Inkrafttretensdatum)</w:t>
      </w:r>
    </w:p>
    <w:p>
      <w:r>
        <w:t xml:space="preserve">Auf Grund des § 11 Absatz 3 des Brennstoffemissionshandelsgesetzes vom 12. Dezember 2019 (BGBl. I S. 2728), dessen Satz 1 durch Artikel 1 Nummer 5 des Gesetzes vom 3. November 2020 (BGBl. I S. 2291) geändert worden ist, verordnet die Bundesregierung unter Berücksichtigung des Beschlusses des Bundestages vom 24. Juni 2021:</w:t>
      </w:r>
    </w:p>
    <w:p>
      <w:r>
        <w:rPr>
          <w:color w:val="555555"/>
          <w:sz w:val="17"/>
        </w:rPr>
        <w:t xml:space="preserve">Zitiervorschlag: Eingangsformel BECV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https://recht.nulegal.eu/gesetze/BECV/eingangsformel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