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BECV — Gesamtbeihilfebetrag</w:t>
      </w:r>
    </w:p>
    <w:p>
      <w:r>
        <w:rPr>
          <w:color w:val="555555"/>
          <w:sz w:val="18"/>
        </w:rPr>
        <w:t xml:space="preserve">BEHG-Carbon-Leakage-Verordnung</w:t>
      </w:r>
    </w:p>
    <w:p>
      <w:r>
        <w:rPr>
          <w:color w:val="555555"/>
          <w:sz w:val="18"/>
        </w:rPr>
        <w:t xml:space="preserve">Stand: 29.07.2021 (konsolidierte Textfassung, kein amtliches Inkrafttretensdatum)</w:t>
      </w:r>
    </w:p>
    <w:p>
      <w:r>
        <w:t xml:space="preserve">(1) Der zu bestimmende Gesamtbeihilfebetrag ergibt sich aus dem Produkt der maßgeblichen Emissionsmenge nach § 9, dem für das Unternehmen anzuwendenden Kompensationsgrad nach Absatz 2 und dem für das Abrechnungsjahr maßgeblichen Preis der Emissionszertifikate in Euro pro Tonne nach Absatz 3.</w:t>
      </w:r>
    </w:p>
    <w:p>
      <w:r>
        <w:t xml:space="preserve">(2) Der anzuwendende Kompensationsgrad entspricht für beihilfeberechtigte Unternehmen, die</w:t>
      </w:r>
    </w:p>
    <w:p>
      <w:pPr>
        <w:ind w:left="420"/>
      </w:pPr>
      <w:r>
        <w:t xml:space="preserve">1. einem beihilfeberechtigten Sektor oder Teilsektor gemäß § 5 Absatz 1 Satz 2 Nummer 1 zuzuordnen sind, dem in Spalte 4 der Tabelle 1 der Anlage zu dieser Verordnung angegebenen Wert für diesen Sektor oder dem in Spalte 4 der Tabelle 2 der Anlage zu dieser Verordnung angegebenen Wert für diesen Teilsektor,</w:t>
      </w:r>
    </w:p>
    <w:p>
      <w:pPr>
        <w:ind w:left="420"/>
      </w:pPr>
      <w:r>
        <w:t xml:space="preserve">2. einem nachträglich anerkannten beihilfeberechtigten Sektor oder Teilsektor gemäß § 5 Absatz 1 Satz 2 Nummer 2 zuzuordnen sind, dem gemäß § 18 Absatz 2 im Bundesanzeiger bekannt gemachten Kompensationsgrad für diesen Sektor.</w:t>
      </w:r>
    </w:p>
    <w:p>
      <w:r>
        <w:t xml:space="preserve">Die Anwendung des nach Satz 1 zu bestimmenden Kompensationsgrads steht ab dem Abrechnungsjahr 2023 unter der Voraussetzung, dass das beihilfeberechtigte Unternehmen ein Überschreiten des Schwellenwertes für die Emissionsintensität nach § 7 Absatz 3 nachweist. Für Unternehmen, die den Nachweis nach Satz 2 nicht erbringen, beträgt der Kompensationsgrad ab dem Abrechnungsjahr 2023 60 Prozent.</w:t>
      </w:r>
    </w:p>
    <w:p>
      <w:r>
        <w:t xml:space="preserve">(3) Für die Abrechnungsjahre 2021 bis 2025 entspricht der maßgebliche Preis der Emissionszertifikate dem für das jeweilige Jahr nach § 10 Absatz 2 Satz 2 des Brennstoffemissionshandelsgesetzes festgelegten Festpreis. Für die Abrechnungsjahre ab dem Jahr 2026 entspricht der maßgebliche Preis der Emissionszertifikate dem volumengewichteten Durchschnitt der Versteigerungspreise der Versteigerungen nach § 10 Absatz 1 Satz 2 und 3 des Brennstoffemissionshandelsgesetzes.</w:t>
      </w:r>
    </w:p>
    <w:p>
      <w:r>
        <w:rPr>
          <w:color w:val="555555"/>
          <w:sz w:val="17"/>
        </w:rPr>
        <w:t xml:space="preserve">Zitiervorschlag: § 8 BECV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https://recht.nulegal.eu/gesetze/BECV/8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