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BECV — Inkrafttreten</w:t>
      </w:r>
    </w:p>
    <w:p>
      <w:r>
        <w:rPr>
          <w:color w:val="555555"/>
          <w:sz w:val="18"/>
        </w:rPr>
        <w:t xml:space="preserve">BEHG-Carbon-Leakage-Verordnung</w:t>
      </w:r>
    </w:p>
    <w:p>
      <w:r>
        <w:rPr>
          <w:color w:val="555555"/>
          <w:sz w:val="18"/>
        </w:rPr>
        <w:t xml:space="preserve">Stand: 29.07.2021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28 BECV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https://recht.nulegal.eu/gesetze/BECV/28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