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BECV — Subventionserheblichkeit</w:t>
      </w:r>
    </w:p>
    <w:p>
      <w:r>
        <w:rPr>
          <w:color w:val="555555"/>
          <w:sz w:val="18"/>
        </w:rPr>
        <w:t xml:space="preserve">BEHG-Carbon-Leakage-Verordnung</w:t>
      </w:r>
    </w:p>
    <w:p>
      <w:r>
        <w:rPr>
          <w:color w:val="555555"/>
          <w:sz w:val="18"/>
        </w:rPr>
        <w:t xml:space="preserve">Stand: 29.07.2021 (konsolidierte Textfassung, kein amtliches Inkrafttretensdatum)</w:t>
      </w:r>
    </w:p>
    <w:p>
      <w:r>
        <w:t xml:space="preserve">Die subventionserheblichen Tatsachen im Sinne des § 264 des Strafgesetzbuches in Verbindung mit § 2 des Subventionsgesetzes vom 29. Juli 1976 (BGBl. I S. 2034, 2037) sind von der zuständigen Behörde in den Antragsformularen zu bezeichnen. Die antragstellenden Unternehmen sind nach § 3 Absatz 1 Satz 1 des Subventionsgesetzes verpflichtet, der zuständigen Behörde unverzüglich alle Tatsachen mitzuteilen, die der Bewilligung, Gewährung, Weitergewährung oder dem Belassen der Beihilfe entgegenstehen oder für die Rückforderung der Beihilfe erheblich sind.</w:t>
      </w:r>
    </w:p>
    <w:p>
      <w:r>
        <w:rPr>
          <w:color w:val="555555"/>
          <w:sz w:val="17"/>
        </w:rPr>
        <w:t xml:space="preserve">Zitiervorschlag: § 14 BECV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https://recht.nulegal.eu/gesetze/BECV/14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