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BECV — Energiemanagementsystem</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Als Gegenleistung für die Gewährung der Beihilfe muss ein beihilfeberechtigtes Unternehmen spätestens ab dem 1. Januar 2023 ein zertifiziertes Energiemanagementsystem nach DIN EN ISO 50001, Ausgabe Dezember 2011 oder Ausgabe Dezember 2018, oder ein Umweltmanagementsystem nach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die zuletzt durch die Verordnung (EU) 2018/2026 (ABl. L 325 vom 20.12.2018, S. 18) geändert worden ist (EMAS), betreiben.</w:t>
      </w:r>
    </w:p>
    <w:p>
      <w:r>
        <w:t xml:space="preserve">(2) An Stelle des Umwelt- oder Energiemanagementsystems nach Absatz 1 können Unternehmen, die in den drei Kalenderjahren vor dem Abrechnungsjahr einen durchschnittlichen Gesamtenergieverbrauch fossiler Brennstoffe von weniger als 10 Gigawattstunden hatten, spätestens ab dem 1. Januar 2023</w:t>
      </w:r>
    </w:p>
    <w:p>
      <w:pPr>
        <w:ind w:left="420"/>
      </w:pPr>
      <w:r>
        <w:t xml:space="preserve">1. ein nicht zertifiziertes Energiemanagementsystem auf Basis der DIN EN ISO 50005:2021[*] mindestens entsprechend Umsetzungsstufe 3 betreiben oder</w:t>
      </w:r>
    </w:p>
    <w:p>
      <w:pPr>
        <w:ind w:left="420"/>
      </w:pPr>
      <w:r>
        <w:t xml:space="preserve">2. Mitglied in einem bei der Initiative Energieeffizienz- und Klimaschutznetzwerke angemeldeten Energieeffizienz- und Klimaschutznetzwerk sein.</w:t>
      </w:r>
    </w:p>
    <w:p>
      <w:r>
        <w:t xml:space="preserve">* Die DIN EN ISO 50005:2021 wird im Herbst 2021 veröffentlicht.</w:t>
      </w:r>
    </w:p>
    <w:p>
      <w:r>
        <w:rPr>
          <w:color w:val="555555"/>
          <w:sz w:val="17"/>
        </w:rPr>
        <w:t xml:space="preserve">Zitiervorschlag: § 10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