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BECV — Anwendungsbereich und Zweck</w:t>
      </w:r>
    </w:p>
    <w:p>
      <w:r>
        <w:rPr>
          <w:color w:val="555555"/>
          <w:sz w:val="18"/>
        </w:rPr>
        <w:t xml:space="preserve">BEHG-Carbon-Leakage-Verordnung</w:t>
      </w:r>
    </w:p>
    <w:p>
      <w:r>
        <w:rPr>
          <w:color w:val="555555"/>
          <w:sz w:val="18"/>
        </w:rPr>
        <w:t xml:space="preserve">Stand: 29.07.2021 (konsolidierte Textfassung, kein amtliches Inkrafttretensdatum)</w:t>
      </w:r>
    </w:p>
    <w:p>
      <w:r>
        <w:t xml:space="preserve">(1) Diese Verordnung gilt innerhalb des Anwendungsbereichs des Brennstoffemissionshandelsgesetzes.</w:t>
      </w:r>
    </w:p>
    <w:p>
      <w:r>
        <w:t xml:space="preserve">(2) Diese Verordnung dient der Festlegung von Maßnahmen nach § 11 Absatz 3 des Brennstoffemissionshandelsgesetzes zur Vermeidung von Carbon-Leakage und zum Erhalt der grenzüberschreitenden Wettbewerbsfähigkeit betroffener Unternehmen.</w:t>
      </w:r>
    </w:p>
    <w:p>
      <w:r>
        <w:rPr>
          <w:color w:val="555555"/>
          <w:sz w:val="17"/>
        </w:rPr>
        <w:t xml:space="preserve">Zitiervorschlag: § 1 BECV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