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BEBeamtAnO</w:t>
      </w:r>
    </w:p>
    <w:p>
      <w:r>
        <w:rPr>
          <w:color w:val="555555"/>
          <w:sz w:val="18"/>
        </w:rPr>
        <w:t xml:space="preserve">Allgemeine Anordnung über die Vertretung bei Klagen aus dem Beamtenverhältnis im Bereich des Bundeseisenbahnvermögens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174 Abs. 3 des Bundesbeamtengesetzes in der Fassung der Bekanntmachung vom 27. Februar 1985 (BGBl. I S. 479), das zuletzt durch Artikel 6 Abs. 8 des Gesetzes vom 27. Dezember 1993 (BGBl. I S. 2378) geändert worden ist, ordne ich an:</w:t>
      </w:r>
    </w:p>
    <w:p>
      <w:r>
        <w:rPr>
          <w:color w:val="555555"/>
          <w:sz w:val="17"/>
        </w:rPr>
        <w:t xml:space="preserve">Zitiervorschlag: Eingangsformel BEBeamtAnO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https://recht.nulegal.eu/gesetze/BEBeamtAnO/eingangsformel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