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BDWV</w:t>
      </w:r>
    </w:p>
    <w:p>
      <w:r>
        <w:rPr>
          <w:color w:val="555555"/>
          <w:sz w:val="18"/>
        </w:rPr>
        <w:t xml:space="preserve">Betriebsdatenweiterleitungsverordnung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23 Absatz 1 des Arbeitsschutzgesetzes vom 7. August 1996 (BGBl. I S. 1246), dessen Satz 2 zuletzt durch Artikel 227 Nummer 1 der Verordnung vom 31. Oktober 2006 (BGBl. I S. 2407) geändert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BDWV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https://recht.nulegal.eu/gesetze/BDWV/eingangsformel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