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BDWV</w:t>
      </w:r>
    </w:p>
    <w:p>
      <w:r>
        <w:rPr>
          <w:color w:val="555555"/>
          <w:sz w:val="18"/>
        </w:rPr>
        <w:t xml:space="preserve">Betriebsdatenweiterleitungsverordnung</w:t>
      </w:r>
    </w:p>
    <w:p>
      <w:r>
        <w:rPr>
          <w:color w:val="555555"/>
          <w:sz w:val="18"/>
        </w:rPr>
        <w:t xml:space="preserve">Stand: 10.06.2019 (konsolidierte Textfassung, kein amtliches Inkrafttretensdatum)</w:t>
      </w:r>
    </w:p>
    <w:p>
      <w:r>
        <w:t xml:space="preserve">Die Bundesagentur für Arbeit leitet die in § 23 Absatz 1 Satz 1 des Arbeitsschutzgesetzes genannten Daten auf Verlangen der für den Arbeitsschutz zuständigen obersten Landesbehörden an diese jährlich mit einheitlichem Stichtag auf maschinell verwertbaren Datenträgern oder durch Datenübertragung weiter. Das Nähere wird durch Verwaltungsvereinbarung geregelt.</w:t>
      </w:r>
    </w:p>
    <w:p>
      <w:r>
        <w:rPr>
          <w:color w:val="555555"/>
          <w:sz w:val="17"/>
        </w:rPr>
        <w:t xml:space="preserve">Zitiervorschlag: § 1 BDWV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