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BDSG 2018 — Verarbeitung personenbezogener Daten im Rahmen von nicht in die Anwendungs- bereiche der Verordnung (EU) 2016/679 und der Richtlinie (EU) 2016/680 fallenden Tätigkeiten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Übermittlung personenbezogener Daten an einen Drittstaat oder an über- oder zwischenstaatliche Stellen oder internationale Organisationen im Rahmen von nicht in die Anwendungsbereiche der Verordnung (EU) 2016/679 und der Richtlinie (EU) 2016/680 fallenden Tätigkeiten ist über die bereits gemäß der Verordnung (EU) 2016/679 zulässigen Fälle hinaus auch dann zulässig, wenn sie zur Erfüllung eigener Aufgaben aus zwingenden Gründen der Verteidigung oder zur Erfüllung über- oder zwischenstaatlicher Verpflichtungen einer öffentlichen Stelle des Bundes auf dem Gebiet der Krisenbewältigung oder Konfliktverhinderung oder für humanitäre Maßnahmen erforderlich ist. Der Empfänger ist darauf hinzuweisen, dass die übermittelten Daten nur zu dem Zweck verwendet werden dürfen, zu dem sie übermittelt wurden.</w:t>
      </w:r>
    </w:p>
    <w:p>
      <w:r>
        <w:t xml:space="preserve">(2) Für Verarbeitungen im Rahmen von nicht in die Anwendungsbereiche der Verordnung (EU) 2016/679 und der Richtlinie (EU) 2016/680 fallenden Tätigkeiten durch Dienststellen im Geschäftsbereich des Bundesministeriums der Verteidigung gilt § 16 Absatz 4 nicht, soweit das Bundesministerium der Verteidigung im Einzelfall feststellt, dass die Erfüllung der dort genannten Pflichten die Sicherheit des Bundes gefährden würde.</w:t>
      </w:r>
    </w:p>
    <w:p>
      <w:r>
        <w:t xml:space="preserve">(3) Für Verarbeitungen im Rahmen von nicht in die Anwendungsbereiche der Verordnung (EU) 2016/679 und der Richtlinie (EU) 2016/680 fallenden Tätigkeiten durch öffentliche Stellen des Bundes besteht keine Informationspflicht gemäß Artikel 13 Absatz 1 und 2 der Verordnung (EU) 2016/679, wenn</w:t>
      </w:r>
    </w:p>
    <w:p>
      <w:pPr>
        <w:ind w:left="420"/>
      </w:pPr>
      <w:r>
        <w:t xml:space="preserve">1. es sich um Fälle des § 32 Absatz 1 Nummer 1 bis 3 handelt oder</w:t>
      </w:r>
    </w:p>
    <w:p>
      <w:pPr>
        <w:ind w:left="420"/>
      </w:pPr>
      <w:r>
        <w:t xml:space="preserve">2. durch ihre Erfüllung Informationen offenbart würden, die nach einer Rechtsvorschrift oder ihrem Wesen nach, insbesondere wegen der überwiegenden berechtigten Interessen eines Dritten, geheim gehalten werden müssen, und deswegen das Interesse der betroffenen Person an der Erteilung der Information zurücktreten muss.</w:t>
      </w:r>
    </w:p>
    <w:p>
      <w:r>
        <w:t xml:space="preserve">Ist die betroffene Person in den Fällen des Satzes 1 nicht zu informieren, besteht auch kein Recht auf Auskunft. § 32 Absatz 2 und § 33 Absatz 2 finden keine Anwendung.</w:t>
      </w:r>
    </w:p>
    <w:p>
      <w:r>
        <w:rPr>
          <w:color w:val="555555"/>
          <w:sz w:val="17"/>
        </w:rPr>
        <w:t xml:space="preserve">Zitiervorschlag: § 85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