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BDSG 2018 — Datenübermittlung bei geeigneten Garantien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Liegt entgegen § 78 Absatz 1 Nummer 2 kein Beschluss nach Artikel 36 Absatz 3 der Richtlinie (EU) 2016/680 vor, ist eine Übermittlung bei Vorliegen der übrigen Voraussetzungen des § 78 auch dann zulässig, wenn</w:t>
      </w:r>
    </w:p>
    <w:p>
      <w:pPr>
        <w:ind w:left="420"/>
      </w:pPr>
      <w:r>
        <w:t xml:space="preserve">1. in einem rechtsverbindlichen Instrument geeignete Garantien für den Schutz personenbezogener Daten vorgesehen sind oder</w:t>
      </w:r>
    </w:p>
    <w:p>
      <w:pPr>
        <w:ind w:left="420"/>
      </w:pPr>
      <w:r>
        <w:t xml:space="preserve">2. der Verantwortliche nach Beurteilung aller Umstände, die bei der Übermittlung eine Rolle spielen, zu der Auffassung gelangt ist, dass geeignete Garantien für den Schutz personenbezogener Daten bestehen.</w:t>
      </w:r>
    </w:p>
    <w:p>
      <w:r>
        <w:t xml:space="preserve">(2) Der Verantwortliche hat Übermittlungen nach Absatz 1 Nummer 2 zu dokumentieren. Die Dokumentation hat den Zeitpunkt der Übermittlung, die Identität des Empfängers, den Grund der Übermittlung und die übermittelten personenbezogenen Daten zu enthalten. Sie ist der oder dem Bundesbeauftragten auf Anforderung zur Verfügung zu stellen.</w:t>
      </w:r>
    </w:p>
    <w:p>
      <w:r>
        <w:t xml:space="preserve">(3) Der Verantwortliche hat die Bundesbeauftragte oder den Bundesbeauftragten zumindest jährlich über Übermittlungen zu unterrichten, die aufgrund einer Beurteilung nach Absatz 1 Nummer 2 erfolgt sind. In der Unterrichtung kann er die Empfänger und die Übermittlungszwecke angemessen kategorisieren.</w:t>
      </w:r>
    </w:p>
    <w:p>
      <w:r>
        <w:rPr>
          <w:color w:val="555555"/>
          <w:sz w:val="17"/>
        </w:rPr>
        <w:t xml:space="preserve">Zitiervorschlag: § 79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