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BDSG 2018 — Allgemeine Voraussetzungen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Übermittlung personenbezogener Daten an Stellen in Drittstaaten oder an internationale Organisationen ist bei Vorliegen der übrigen für Datenübermittlungen geltenden Voraussetzungen zulässig, wenn</w:t>
      </w:r>
    </w:p>
    <w:p>
      <w:pPr>
        <w:ind w:left="420"/>
      </w:pPr>
      <w:r>
        <w:t xml:space="preserve">1. die Stelle oder internationale Organisation für die in § 45 genannten Zwecke zuständig ist und</w:t>
      </w:r>
    </w:p>
    <w:p>
      <w:pPr>
        <w:ind w:left="420"/>
      </w:pPr>
      <w:r>
        <w:t xml:space="preserve">2. die Europäische Kommission gemäß Artikel 36 Absatz 3 der Richtlinie (EU) 2016/680 einen Angemessenheitsbeschluss gefasst hat.</w:t>
      </w:r>
    </w:p>
    <w:p>
      <w:r>
        <w:t xml:space="preserve">(2) Die Übermittlung personenbezogener Daten hat trotz des Vorliegens eines Angemessenheitsbeschlusses im Sinne des Absatzes 1 Nummer 2 und des zu berücksichtigenden öffentlichen Interesses an der Datenübermittlung zu unterbleiben, wenn im Einzelfall ein datenschutzrechtlich angemessener und die elementaren Menschenrechte wahrender Umgang mit den Daten beim Empfänger nicht hinreichend gesichert ist oder sonst überwiegende schutzwürdige Interessen einer betroffenen Person entgegenstehen. Bei seiner Beurteilung hat der Verantwortliche maßgeblich zu berücksichtigen, ob der Empfänger im Einzelfall einen angemessenen Schutz der übermittelten Daten garantiert.</w:t>
      </w:r>
    </w:p>
    <w:p>
      <w:r>
        <w:t xml:space="preserve">(3) Wenn personenbezogene Daten, die aus einem anderen Mitgliedstaat der Europäischen Union übermittelt oder zur Verfügung gestellt wurden, nach Absatz 1 übermittelt werden sollen, muss diese Übermittlung zuvor von der zuständigen Stelle des anderen Mitgliedstaats genehmigt werden. Übermittlungen ohne vorherige Genehmigung sind nur dann zulässig, wenn die Übermittlung erforderlich ist, um eine unmittelbare und ernsthafte Gefahr für die öffentliche Sicherheit eines Staates oder für die wesentlichen Interessen eines Mitgliedstaats abzuwehren, und die vorherige Genehmigung nicht rechtzeitig eingeholt werden kann. Im Fall des Satzes 2 ist die Stelle des anderen Mitgliedstaats, die für die Erteilung der Genehmigung zuständig gewesen wäre, unverzüglich über die Übermittlung zu unterrichten.</w:t>
      </w:r>
    </w:p>
    <w:p>
      <w:r>
        <w:t xml:space="preserve">(4) Der Verantwortliche, der Daten nach Absatz 1 übermittelt, hat durch geeignete Maßnahmen sicherzustellen, dass der Empfänger die übermittelten Daten nur dann an andere Drittstaaten oder andere internationale Organisationen weiterübermittelt, wenn der Verantwortliche diese Übermittlung zuvor genehmigt hat. Bei der Entscheidung über die Erteilung der Genehmigung hat der Verantwortliche alle maßgeblichen Faktoren zu berücksichtigen, insbesondere die Schwere der Straftat, den Zweck der ursprünglichen Übermittlung und das in dem Drittstaat oder der internationalen Organisation, an das oder an die die Daten weiterübermittelt werden sollen, bestehende Schutzniveau für personenbezogene Daten. Eine Genehmigung darf nur dann erfolgen, wenn auch eine direkte Übermittlung an den anderen Drittstaat oder die andere internationale Organisation zulässig wäre. Die Zuständigkeit für die Erteilung der Genehmigung kann auch abweichend geregelt werden.</w:t>
      </w:r>
    </w:p>
    <w:p>
      <w:r>
        <w:rPr>
          <w:color w:val="555555"/>
          <w:sz w:val="17"/>
        </w:rPr>
        <w:t xml:space="preserve">Zitiervorschlag: § 78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