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73 BDSG 2018 — Unterscheidung zwischen Tatsachen und persönlichen Einschätzungen</w:t>
      </w:r>
    </w:p>
    <w:p>
      <w:r>
        <w:rPr>
          <w:color w:val="555555"/>
          <w:sz w:val="18"/>
        </w:rPr>
        <w:t xml:space="preserve">Bundesdatenschutzgesetz</w:t>
      </w:r>
    </w:p>
    <w:p>
      <w:r>
        <w:rPr>
          <w:color w:val="555555"/>
          <w:sz w:val="18"/>
        </w:rPr>
        <w:t xml:space="preserve">Stand: 10.06.2019 (konsolidierte Textfassung, kein amtliches Inkrafttretensdatum)</w:t>
      </w:r>
    </w:p>
    <w:p>
      <w:r>
        <w:t xml:space="preserve">Der Verantwortliche hat bei der Verarbeitung so weit wie möglich danach zu unterscheiden, ob personenbezogene Daten auf Tatsachen oder auf persönlichen Einschätzungen beruhen. Zu diesem Zweck soll er, soweit dies im Rahmen der jeweiligen Verarbeitung möglich und angemessen ist, Beurteilungen, die auf persönlichen Einschätzungen beruhen, als solche kenntlich machen. Es muss außerdem feststellbar sein, welche Stelle die Unterlagen führt, die der auf einer persönlichen Einschätzung beruhenden Beurteilung zugrunde liegen.</w:t>
      </w:r>
    </w:p>
    <w:p>
      <w:r>
        <w:rPr>
          <w:color w:val="555555"/>
          <w:sz w:val="17"/>
        </w:rPr>
        <w:t xml:space="preserve">Zitiervorschlag: § 73 BDSG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https://recht.nulegal.eu/gesetze/BDSG%202018/73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