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72 BDSG 2018 — Unterscheidung zwischen verschiedenen Kategorien betroffener Personen</w:t>
      </w:r>
    </w:p>
    <w:p>
      <w:r>
        <w:rPr>
          <w:color w:val="555555"/>
          <w:sz w:val="18"/>
        </w:rPr>
        <w:t xml:space="preserve">Bundesdatenschutzgesetz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Verantwortliche hat bei der Verarbeitung personenbezogener Daten so weit wie möglich zwischen den verschiedenen Kategorien betroffener Personen zu unterscheiden. Dies betrifft insbesondere folgende Kategorien:</w:t>
      </w:r>
    </w:p>
    <w:p>
      <w:pPr>
        <w:ind w:left="420"/>
      </w:pPr>
      <w:r>
        <w:t xml:space="preserve">1. Personen, gegen die ein begründeter Verdacht besteht, dass sie eine Straftat begangen haben,</w:t>
      </w:r>
    </w:p>
    <w:p>
      <w:pPr>
        <w:ind w:left="420"/>
      </w:pPr>
      <w:r>
        <w:t xml:space="preserve">2. Personen, gegen die ein begründeter Verdacht besteht, dass sie in naher Zukunft eine Straftat begehen werden,</w:t>
      </w:r>
    </w:p>
    <w:p>
      <w:pPr>
        <w:ind w:left="420"/>
      </w:pPr>
      <w:r>
        <w:t xml:space="preserve">3. verurteilte Straftäter,</w:t>
      </w:r>
    </w:p>
    <w:p>
      <w:pPr>
        <w:ind w:left="420"/>
      </w:pPr>
      <w:r>
        <w:t xml:space="preserve">4. Opfer einer Straftat oder Personen, bei denen bestimmte Tatsachen darauf hindeuten, dass sie Opfer einer Straftat sein könnten, und</w:t>
      </w:r>
    </w:p>
    <w:p>
      <w:pPr>
        <w:ind w:left="420"/>
      </w:pPr>
      <w:r>
        <w:t xml:space="preserve">5. andere Personen wie insbesondere Zeugen, Hinweisgeber oder Personen, die mit den in den Nummern 1 bis 4 genannten Personen in Kontakt oder Verbindung stehen.</w:t>
      </w:r>
    </w:p>
    <w:p>
      <w:r>
        <w:rPr>
          <w:color w:val="555555"/>
          <w:sz w:val="17"/>
        </w:rPr>
        <w:t xml:space="preserve">Zitiervorschlag: § 72 BDSG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https://recht.nulegal.eu/gesetze/BDSG%202018/72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