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BDSG 2018 — Verarbeitung zu anderen Zwecken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Eine Verarbeitung personenbezogener Daten zu einem anderen Zweck als zu demjenigen, zu dem sie erhoben wurden, ist zulässig, wenn es sich bei dem anderen Zweck um einen der in § 45 genannten Zwecke handelt, der Verantwortliche befugt ist, Daten zu diesem Zweck zu verarbeiten, und die Verarbeitung zu diesem Zweck erforderlich und verhältnismäßig ist. Die Verarbeitung personenbezogener Daten zu einem anderen, in § 45 nicht genannten Zweck ist zulässig, wenn sie in einer Rechtsvorschrift vorgesehen ist.</w:t>
      </w:r>
    </w:p>
    <w:p>
      <w:r>
        <w:rPr>
          <w:color w:val="555555"/>
          <w:sz w:val="17"/>
        </w:rPr>
        <w:t xml:space="preserve">Zitiervorschlag: § 49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