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BDSG 2018 — Allgemeine Grundsätze für die Verarbeitung personenbezogener Daten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Personenbezogene Daten müssen</w:t>
      </w:r>
    </w:p>
    <w:p>
      <w:pPr>
        <w:ind w:left="420"/>
      </w:pPr>
      <w:r>
        <w:t xml:space="preserve">1. auf rechtmäßige Weise und nach Treu und Glauben verarbeitet werden,</w:t>
      </w:r>
    </w:p>
    <w:p>
      <w:pPr>
        <w:ind w:left="420"/>
      </w:pPr>
      <w:r>
        <w:t xml:space="preserve">2. für festgelegte, eindeutige und rechtmäßige Zwecke erhoben und nicht in einer mit diesen Zwecken nicht zu vereinbarenden Weise verarbeitet werden,</w:t>
      </w:r>
    </w:p>
    <w:p>
      <w:pPr>
        <w:ind w:left="420"/>
      </w:pPr>
      <w:r>
        <w:t xml:space="preserve">3. dem Verarbeitungszweck entsprechen, für das Erreichen des Verarbeitungszwecks erforderlich sein und ihre Verarbeitung nicht außer Verhältnis zu diesem Zweck stehen,</w:t>
      </w:r>
    </w:p>
    <w:p>
      <w:pPr>
        <w:ind w:left="420"/>
      </w:pPr>
      <w:r>
        <w:t xml:space="preserve">4. sachlich richtig und erforderlichenfalls auf dem neuesten Stand sein; dabei sind alle angemessenen Maßnahmen zu treffen, damit personenbezogene Daten, die im Hinblick auf die Zwecke ihrer Verarbeitung unrichtig sind, unverzüglich gelöscht oder berichtigt werden,</w:t>
      </w:r>
    </w:p>
    <w:p>
      <w:pPr>
        <w:ind w:left="420"/>
      </w:pPr>
      <w:r>
        <w:t xml:space="preserve">5. nicht länger als es für die Zwecke, für die sie verarbeitet werden, erforderlich ist, in einer Form gespeichert werden, die die Identifizierung der betroffenen Personen ermöglicht, und</w:t>
      </w:r>
    </w:p>
    <w:p>
      <w:pPr>
        <w:ind w:left="420"/>
      </w:pPr>
      <w:r>
        <w:t xml:space="preserve">6. in einer Weise verarbeitet werden, die eine angemessene Sicherheit der personenbezogenen Daten gewährleistet; hierzu gehört auch ein durch geeignete technische und organisatorische Maßnahmen zu gewährleistender Schutz vor unbefugter oder unrechtmäßiger Verarbeitung, unbeabsichtigtem Verlust, unbeabsichtigter Zerstörung oder unbeabsichtigter Schädigung.</w:t>
      </w:r>
    </w:p>
    <w:p>
      <w:r>
        <w:rPr>
          <w:color w:val="555555"/>
          <w:sz w:val="17"/>
        </w:rPr>
        <w:t xml:space="preserve">Zitiervorschlag: § 47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