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BDSG 2018 — Bußgeldvorschriften</w:t>
      </w:r>
    </w:p>
    <w:p>
      <w:r>
        <w:rPr>
          <w:color w:val="555555"/>
          <w:sz w:val="18"/>
        </w:rPr>
        <w:t xml:space="preserve">Bundesdatenschutzgesetz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30 Absatz 1 ein Auskunftsverlangen nicht richtig behandelt oder</w:t>
      </w:r>
    </w:p>
    <w:p>
      <w:pPr>
        <w:ind w:left="420"/>
      </w:pPr>
      <w:r>
        <w:t xml:space="preserve">2. entgegen § 30 Absatz 2 Satz 1 einen Verbraucher nicht, nicht richtig, nicht vollständig oder nicht rechtzeitig unterrichtet.</w:t>
      </w:r>
    </w:p>
    <w:p>
      <w:r>
        <w:t xml:space="preserve">(2) Die Ordnungswidrigkeit kann mit einer Geldbuße bis zu fünfzigtausend Euro geahndet werden.</w:t>
      </w:r>
    </w:p>
    <w:p>
      <w:r>
        <w:t xml:space="preserve">(3) Gegen Behörden und sonstige öffentliche Stellen im Sinne des § 2 Absatz 1 werden keine Geldbußen verhängt.</w:t>
      </w:r>
    </w:p>
    <w:p>
      <w:r>
        <w:t xml:space="preserve">(4) Eine Meldung nach Artikel 33 der Verordnung (EU) 2016/679 oder eine Benachrichtigung nach Artikel 34 Absatz 1 der Verordnung (EU) 2016/679 darf in einem Verfahren nach dem Gesetz über Ordnungswidrigkeiten gegen den Meldepflichtigen oder Benachrichtigenden oder seine in § 52 Absatz 1 der Strafprozessordnung bezeichneten Angehörigen nur mit Zustimmung des Meldepflichtigen oder Benachrichtigenden verwendet werden.</w:t>
      </w:r>
    </w:p>
    <w:p>
      <w:r>
        <w:rPr>
          <w:color w:val="555555"/>
          <w:sz w:val="17"/>
        </w:rPr>
        <w:t xml:space="preserve">Zitiervorschlag: § 43 BDSG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https://recht.nulegal.eu/gesetze/BDSG%202018/43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