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BDSG 2018 — Anwendung der Vorschriften über das Bußgeld- und Strafverfahren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Für Verstöße nach Artikel 83 Absatz 4 bis 6 der Verordnung (EU) 2016/679 gelten, soweit dieses Gesetz nichts anderes bestimmt, die Vorschriften des Gesetzes über Ordnungswidrigkeiten sinngemäß. Die §§ 17, 35 und 36 des Gesetzes über Ordnungswidrigkeiten finden keine Anwendung. § 68 des Gesetzes über Ordnungswidrigkeiten findet mit der Maßgabe Anwendung, dass das Landgericht entscheidet, wenn die festgesetzte Geldbuße den Betrag von einhunderttausend Euro übersteigt.</w:t>
      </w:r>
    </w:p>
    <w:p>
      <w:r>
        <w:t xml:space="preserve">(2) Für Verfahren wegen eines Verstoßes nach Artikel 83 Absatz 4 bis 6 der Verordnung (EU) 2016/679 gelten, soweit dieses Gesetz nichts anderes bestimmt, die Vorschriften des Gesetzes über Ordnungswidrigkeiten und der allgemeinen Gesetze über das Strafverfahren, namentlich der Strafprozessordnung und des Gerichtsverfassungsgesetzes, entsprechend. Die §§ 56 bis 58, 87, 88, 99 und 100 des Gesetzes über Ordnungswidrigkeiten finden keine Anwendung. § 69 Absatz 4 Satz 2 des Gesetzes über Ordnungswidrigkeiten findet mit der Maßgabe Anwendung, dass die Staatsanwaltschaft das Verfahren nur mit Zustimmung der Aufsichtsbehörde, die den Bußgeldbescheid erlassen hat, einstellen kann.</w:t>
      </w:r>
    </w:p>
    <w:p>
      <w:r>
        <w:rPr>
          <w:color w:val="555555"/>
          <w:sz w:val="17"/>
        </w:rPr>
        <w:t xml:space="preserve">Zitiervorschlag: § 41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