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BDSG 2018 — Automatisierte Entscheidungen im Einzelfall einschließlich Profiling</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Das Recht gemäß Artikel 22 Absatz 1 der Verordnung (EU) 2016/679, keiner ausschließlich auf einer automatisierten Verarbeitung beruhenden Entscheidung unterworfen zu werden, besteht über die in Artikel 22 Absatz 2 Buchstabe a und c der Verordnung (EU) 2016/679 genannten Ausnahmen hinaus nicht, wenn die Entscheidung im Rahmen der Leistungserbringung nach einem Versicherungsvertrag ergeht und</w:t>
      </w:r>
    </w:p>
    <w:p>
      <w:pPr>
        <w:ind w:left="420"/>
      </w:pPr>
      <w:r>
        <w:t xml:space="preserve">1. dem Begehren der betroffenen Person stattgegeben wurde oder</w:t>
      </w:r>
    </w:p>
    <w:p>
      <w:pPr>
        <w:ind w:left="420"/>
      </w:pPr>
      <w:r>
        <w:t xml:space="preserve">2. die Entscheidung auf der Anwendung verbindlicher Entgeltregelungen für Heilbehandlungen beruht und der Verantwortliche für den Fall, dass dem Antrag nicht vollumfänglich stattgegeben wird, angemessene Maßnahmen zur Wahrung der berechtigten Interessen der betroffenen Person trifft, wozu mindestens das Recht auf Erwirkung des Eingreifens einer Person seitens des Verantwortlichen, auf Darlegung des eigenen Standpunktes und auf Anfechtung der Entscheidung zählt; der Verantwortliche informiert die betroffene Person über diese Rechte spätestens zum Zeitpunkt der Mitteilung, aus der sich ergibt, dass dem Antrag der betroffenen Person nicht vollumfänglich stattgegeben wird.</w:t>
      </w:r>
    </w:p>
    <w:p>
      <w:r>
        <w:t xml:space="preserve">(2) Entscheidungen nach Absatz 1 dürfen auf der Verarbeitung von Gesundheitsdaten im Sinne des Artikels 4 Nummer 15 der Verordnung (EU) 2016/679 beruhen. Der Verantwortliche sieht angemessene und spezifische Maßnahmen zur Wahrung der Interessen der betroffenen Person gemäß § 22 Absatz 2 Satz 2 vor.</w:t>
      </w:r>
    </w:p>
    <w:p>
      <w:r>
        <w:rPr>
          <w:color w:val="555555"/>
          <w:sz w:val="17"/>
        </w:rPr>
        <w:t xml:space="preserve">Zitiervorschlag: § 37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