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BDSG 2018 — Informationspflicht, wenn die personenbezogenen Daten nicht bei der betroffenen Person erhoben wurden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Pflicht zur Information der betroffenen Person gemäß Artikel 14 Absatz 1, 2 und 4 der Verordnung (EU) 2016/679 besteht ergänzend zu den in Artikel 14 Absatz 5 der Verordnung (EU) 2016/679 und der in § 29 Absatz 1 Satz 1 genannten Ausnahme nicht, wenn die Erteilung der Information</w:t>
      </w:r>
    </w:p>
    <w:p>
      <w:pPr>
        <w:ind w:left="420"/>
      </w:pPr>
      <w:r>
        <w:t xml:space="preserve">1. im Fall einer öffentlichen Stelle</w:t>
      </w:r>
    </w:p>
    <w:p>
      <w:pPr>
        <w:ind w:left="780"/>
      </w:pPr>
      <w:r>
        <w:t xml:space="preserve">a) die ordnungsgemäße Erfüllung der in der Zuständigkeit des Verantwortlichen liegenden Aufgaben im Sinne des Artikels 23 Absatz 1 Buchstabe a bis e der Verordnung (EU) 2016/679 gefährden würde oder</w:t>
      </w:r>
    </w:p>
    <w:p>
      <w:pPr>
        <w:ind w:left="780"/>
      </w:pPr>
      <w:r>
        <w:t xml:space="preserve">b) die öffentliche Sicherheit oder Ordnung gefährden oder sonst dem Wohl des Bundes oder eines Landes Nachteile bereiten würde</w:t>
      </w:r>
    </w:p>
    <w:p>
      <w:r>
        <w:t xml:space="preserve">und deswegen das Interesse der betroffenen Person an der Informationserteilung zurücktreten muss,</w:t>
      </w:r>
    </w:p>
    <w:p>
      <w:pPr>
        <w:ind w:left="420"/>
      </w:pPr>
      <w:r>
        <w:t xml:space="preserve">2. im Fall einer nichtöffentlichen Stelle</w:t>
      </w:r>
    </w:p>
    <w:p>
      <w:pPr>
        <w:ind w:left="780"/>
      </w:pPr>
      <w:r>
        <w:t xml:space="preserve">a) die Geltendmachung, Ausübung oder Verteidigung zivilrechtlicher Ansprüche beeinträchtigen würde oder die Verarbeitung Daten aus zivilrechtlichen Verträgen beinhaltet und der Verhütung von Schäden durch Straftaten dient, sofern nicht das berechtigte Interesse der betroffenen Person an der Informationserteilung überwiegt, oder</w:t>
      </w:r>
    </w:p>
    <w:p>
      <w:pPr>
        <w:ind w:left="780"/>
      </w:pPr>
      <w:r>
        <w:t xml:space="preserve">b) die zuständige öffentliche Stelle gegenüber dem Verantwortlichen festgestellt hat, dass das Bekanntwerden der Daten die öffentliche Sicherheit oder Ordnung gefährden oder sonst dem Wohl des Bundes oder eines Landes Nachteile bereiten würde; im Fall der Datenverarbeitung für Zwecke der Strafverfolgung bedarf es keiner Feststellung nach dem ersten Halbsatz.</w:t>
      </w:r>
    </w:p>
    <w:p>
      <w:r>
        <w:t xml:space="preserve">(2) Unterbleibt eine Information der betroffenen Person nach Maßgabe des Absatzes 1, ergreift der Verantwortliche geeignete Maßnahmen zum Schutz der berechtigten Interessen der betroffenen Person, einschließlich der Bereitstellung der in Artikel 14 Absatz 1 und 2 der Verordnung (EU) 2016/679 genannten Informationen für die Öffentlichkeit in präziser, transparenter, verständlicher und leicht zugänglicher Form in einer klaren und einfachen Sprache. Der Verantwortliche hält schriftlich fest, aus welchen Gründen er von einer Information abgesehen hat.</w:t>
      </w:r>
    </w:p>
    <w:p>
      <w:r>
        <w:t xml:space="preserve">(3) Bezieht sich die Informationserteilung auf die Übermittlung personenbezogener Daten durch öffentliche Stellen an Verfassungsschutzbehörden, den Bundesnachrichtendienst, den Militärischen Abschirmdienst und, soweit die Sicherheit des Bundes berührt wird, andere Behörden des Bundesministeriums der Verteidigung, ist sie nur mit Zustimmung dieser Stellen zulässig.</w:t>
      </w:r>
    </w:p>
    <w:p>
      <w:r>
        <w:rPr>
          <w:color w:val="555555"/>
          <w:sz w:val="17"/>
        </w:rPr>
        <w:t xml:space="preserve">Zitiervorschlag: § 33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