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BDSG 2018 — Verarbeitung zu anderen Zwecken durch öffentliche Stellen</w:t>
      </w:r>
    </w:p>
    <w:p>
      <w:r>
        <w:rPr>
          <w:color w:val="555555"/>
          <w:sz w:val="18"/>
        </w:rPr>
        <w:t xml:space="preserve">Bundesdatenschutzgesetz</w:t>
      </w:r>
    </w:p>
    <w:p>
      <w:r>
        <w:rPr>
          <w:color w:val="555555"/>
          <w:sz w:val="18"/>
        </w:rPr>
        <w:t xml:space="preserve">Stand: 10.06.2019 (konsolidierte Textfassung, kein amtliches Inkrafttretensdatum)</w:t>
      </w:r>
    </w:p>
    <w:p>
      <w:r>
        <w:t xml:space="preserve">(1) Die Verarbeitung personenbezogener Daten zu einem anderen Zweck als zu demjenigen, zu dem die Daten erhoben wurden, durch öffentliche Stellen im Rahmen ihrer Aufgabenerfüllung ist zulässig, wenn</w:t>
      </w:r>
    </w:p>
    <w:p>
      <w:pPr>
        <w:ind w:left="420"/>
      </w:pPr>
      <w:r>
        <w:t xml:space="preserve">1. offensichtlich ist, dass sie im Interesse der betroffenen Person liegt und kein Grund zu der Annahme besteht, dass sie in Kenntnis des anderen Zwecks ihre Einwilligung verweigern würde,</w:t>
      </w:r>
    </w:p>
    <w:p>
      <w:pPr>
        <w:ind w:left="420"/>
      </w:pPr>
      <w:r>
        <w:t xml:space="preserve">2. Angaben der betroffenen Person überprüft werden müssen, weil tatsächliche Anhaltspunkte für deren Unrichtigkeit bestehen,</w:t>
      </w:r>
    </w:p>
    <w:p>
      <w:pPr>
        <w:ind w:left="420"/>
      </w:pPr>
      <w:r>
        <w:t xml:space="preserve">3. sie zur Abwehr erheblicher Nachteile für das Gemeinwohl oder einer Gefahr für die öffentliche Sicherheit, die Verteidigung oder die nationale Sicherheit, zur Wahrung erheblicher Belange des Gemeinwohls oder zur Sicherung des Steuer- und Zollaufkommens erforderlich ist,</w:t>
      </w:r>
    </w:p>
    <w:p>
      <w:pPr>
        <w:ind w:left="420"/>
      </w:pPr>
      <w:r>
        <w:t xml:space="preserve">4. sie zur Verfolgung von Straftaten oder Ordnungswidrigkeiten, zur Vollstreckung oder zum Vollzug von Strafen oder Maßnahmen im Sinne des § 11 Absatz 1 Nummer 8 des Strafgesetzbuchs oder von Erziehungsmaßregeln oder Zuchtmitteln im Sinne des Jugendgerichtsgesetzes oder zur Vollstreckung von Geldbußen erforderlich ist,</w:t>
      </w:r>
    </w:p>
    <w:p>
      <w:pPr>
        <w:ind w:left="420"/>
      </w:pPr>
      <w:r>
        <w:t xml:space="preserve">5. sie zur Abwehr einer schwerwiegenden Beeinträchtigung der Rechte einer anderen Person erforderlich ist oder</w:t>
      </w:r>
    </w:p>
    <w:p>
      <w:pPr>
        <w:ind w:left="420"/>
      </w:pPr>
      <w:r>
        <w:t xml:space="preserve">6. sie der Wahrnehmung von Aufsichts- und Kontrollbefugnissen, der Rechnungsprüfung oder der Durchführung von Organisationsuntersuchungen des Verantwortlichen dient; dies gilt auch für die Verarbeitung zu Ausbildungs- und Prüfungszwecken durch den Verantwortlichen, soweit schutzwürdige Interessen der betroffenen Person dem nicht entgegenstehen.</w:t>
      </w:r>
    </w:p>
    <w:p>
      <w:r>
        <w:t xml:space="preserve">(2) Die Verarbeitung besonderer Kategorien personenbezogener Daten im Sinne des Artikels 9 Absatz 1 der Verordnung (EU) 2016/679 zu einem anderen Zweck als zu demjenigen, zu dem die Daten erhoben wurden, ist zulässig, wenn die Voraussetzungen des Absatzes 1 und ein Ausnahmetatbestand nach Artikel 9 Absatz 2 der Verordnung (EU) 2016/679 oder nach § 22 vorliegen.</w:t>
      </w:r>
    </w:p>
    <w:p>
      <w:r>
        <w:rPr>
          <w:color w:val="555555"/>
          <w:sz w:val="17"/>
        </w:rPr>
        <w:t xml:space="preserve">Zitiervorschlag: § 23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