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BDSG 2018 — Gerichtlicher Rechtsschutz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Streitigkeiten zwischen einer natürlichen oder einer juristischen Person und einer Aufsichtsbehörde des Bundes oder eines Landes über Rechte gemäß Artikel 78 Absatz 1 und 2 der Verordnung (EU) 2016/679 sowie § 61 ist der Verwaltungsrechtsweg gegeben. Satz 1 gilt nicht für Bußgeldverfahren.</w:t>
      </w:r>
    </w:p>
    <w:p>
      <w:r>
        <w:t xml:space="preserve">(2) Die Verwaltungsgerichtsordnung ist nach Maßgabe der Absätze 3 bis 7 anzuwenden.</w:t>
      </w:r>
    </w:p>
    <w:p>
      <w:r>
        <w:t xml:space="preserve">(3) Für Verfahren nach Absatz 1 Satz 1 ist das Verwaltungsgericht örtlich zuständig, in dessen Bezirk die Aufsichtsbehörde ihren Sitz hat.</w:t>
      </w:r>
    </w:p>
    <w:p>
      <w:r>
        <w:t xml:space="preserve">(4) In Verfahren nach Absatz 1 Satz 1 ist die Aufsichtsbehörde beteiligungsfähig.</w:t>
      </w:r>
    </w:p>
    <w:p>
      <w:r>
        <w:t xml:space="preserve">(5) Beteiligte eines Verfahrens nach Absatz 1 Satz 1 sind</w:t>
      </w:r>
    </w:p>
    <w:p>
      <w:pPr>
        <w:ind w:left="420"/>
      </w:pPr>
      <w:r>
        <w:t xml:space="preserve">1. die natürliche oder juristische Person als Klägerin oder Antragstellerin und</w:t>
      </w:r>
    </w:p>
    <w:p>
      <w:pPr>
        <w:ind w:left="420"/>
      </w:pPr>
      <w:r>
        <w:t xml:space="preserve">2. die Aufsichtsbehörde als Beklagte oder Antragsgegnerin.</w:t>
      </w:r>
    </w:p>
    <w:p>
      <w:r>
        <w:t xml:space="preserve">§ 63 Nummer 3 und 4 der Verwaltungsgerichtsordnung bleibt unberührt.</w:t>
      </w:r>
    </w:p>
    <w:p>
      <w:r>
        <w:t xml:space="preserve">(6) Ein Vorverfahren findet nicht statt.</w:t>
      </w:r>
    </w:p>
    <w:p>
      <w:r>
        <w:t xml:space="preserve">(7) Die Aufsichtsbehörde darf gegenüber einer Behörde oder deren Rechtsträger nicht die sofortige Vollziehung gemäß § 80 Absatz 2 Satz 1 Nummer 4 der Verwaltungsgerichtsordnung anordnen.</w:t>
      </w:r>
    </w:p>
    <w:p>
      <w:r>
        <w:rPr>
          <w:color w:val="555555"/>
          <w:sz w:val="17"/>
        </w:rPr>
        <w:t xml:space="preserve">Zitiervorschlag: § 20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