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BDNOG — Rückkehr zum einheitlichen Verordnungsrang</w:t>
      </w:r>
    </w:p>
    <w:p>
      <w:r>
        <w:rPr>
          <w:color w:val="555555"/>
          <w:sz w:val="18"/>
        </w:rPr>
        <w:t xml:space="preserve">Gesetz zur Neuordnung des Bundesdisziplinarrechts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den Artikel 4 bis 6, 8 und 25 beruhenden Teile der dort geänderten Rechtsverordnungen können auf Grund der jeweils einschlägigen Ermächtigungen durch Rechtsverordnung geändert werden.</w:t>
      </w:r>
    </w:p>
    <w:p>
      <w:r>
        <w:rPr>
          <w:color w:val="555555"/>
          <w:sz w:val="17"/>
        </w:rPr>
        <w:t xml:space="preserve">Zitiervorschlag: Art 26 BDNOG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https://recht.nulegal.eu/gesetze/BDNOG/26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