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BDNOG — Änderung der Verwaltungsgerichtsordnung</w:t>
      </w:r>
    </w:p>
    <w:p>
      <w:r>
        <w:rPr>
          <w:color w:val="555555"/>
          <w:sz w:val="18"/>
        </w:rPr>
        <w:t xml:space="preserve">Gesetz zur Neuordnung des Bundesdisziplinarrechts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- 7.</w:t>
      </w:r>
    </w:p>
    <w:p>
      <w:pPr>
        <w:ind w:left="420"/>
      </w:pPr>
      <w:r>
        <w:t xml:space="preserve">8. Beteiligungserklärungen des Oberbundesanwalts beim Bundesverwaltungsgericht, die bis zum Inkrafttreten dieses Gesetzes abgegeben worden sind, werden von dem Vertreter des Bundesinteresses beim Bundesverwaltungsgericht weiterverfolgt.</w:t>
      </w:r>
    </w:p>
    <w:p>
      <w:r>
        <w:rPr>
          <w:color w:val="555555"/>
          <w:sz w:val="17"/>
        </w:rPr>
        <w:t xml:space="preserve">Zitiervorschlag: Art 14 BDNOG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https://recht.nulegal.eu/gesetze/BDNOG/14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