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BDLR</w:t>
      </w:r>
    </w:p>
    <w:p>
      <w:r>
        <w:rPr>
          <w:color w:val="555555"/>
          <w:sz w:val="18"/>
        </w:rPr>
        <w:t xml:space="preserve">Richtlinien der Bank deutscher Länder zur Erstellung der Reichsmark-Schlußbilanz und der Umstellungsrechnung der Geldinstitute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8 der Zweiten Verordnung zur Durchführung des Umstellungsgesetzes (Bankenverordnung) werden hiermit die folgenden Richtlinien zur Erstellung der Reichsmark-Schlußbilanz und der Umstellungsrechnung der Geldinstitute erlassen:</w:t>
      </w:r>
    </w:p>
    <w:p>
      <w:r>
        <w:rPr>
          <w:color w:val="555555"/>
          <w:sz w:val="17"/>
        </w:rPr>
        <w:t xml:space="preserve">Zitiervorschlag: Eingangsformel BDLR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https://recht.nulegal.eu/gesetze/BDLR/eingangsformel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