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7c. BDLR — Kriegssachschäden</w:t>
      </w:r>
    </w:p>
    <w:p>
      <w:r>
        <w:rPr>
          <w:color w:val="555555"/>
          <w:sz w:val="18"/>
        </w:rPr>
        <w:t xml:space="preserve">Richtlinien der Bank deutscher Länder zur Erstellung der Reichsmark-Schlußbilanz und der Umstellungsrechnung der Geldinstitute</w:t>
      </w:r>
    </w:p>
    <w:p>
      <w:r>
        <w:rPr>
          <w:color w:val="555555"/>
          <w:sz w:val="18"/>
        </w:rPr>
        <w:t xml:space="preserve">Stand: 10.06.2019 (konsolidierte Textfassung, kein amtliches Inkrafttretensdatum)</w:t>
      </w:r>
    </w:p>
    <w:p>
      <w:r>
        <w:t xml:space="preserve">(1) Kriegssachschädenforderungen dürfen in der Reichsmarkschlußbilanz bis zu einem Betrag angesetzt werden, der zusammen mit dem Restwert des zerstörten oder beschädigten Gegenstandes nach Eintritt des Kriegssachschadens den Ansatz für diesen Gegenstand in der letzten Bilanz vor Eintritt des Kriegssachschadens oder den Wert ergibt, mit dem der unbeschädigte Gegenstand gemäß Ziffer 7b in der Reichsmarkschlußbilanz hätte angesetzt werden dürfen. Dies gilt auch, wenn der zerstörte oder beschädigte Gegenstand bis zum 20. Juni 1948 mit eigenen Mitteln des Geldinstituts wiederbeschafft oder wiederhergestellt worden ist.</w:t>
      </w:r>
    </w:p>
    <w:p>
      <w:r>
        <w:t xml:space="preserve">(2) Für die Bewertung eines wiederbeschafften oder wiederhergestellten Gegenstandes oder den gesonderten Ausweis von Wiederaufbaukosten in der Reichsmarkschlußbilanz gilt Ziffer 7a Buchstabe A.</w:t>
      </w:r>
    </w:p>
    <w:p>
      <w:r>
        <w:rPr>
          <w:color w:val="555555"/>
          <w:sz w:val="17"/>
        </w:rPr>
        <w:t xml:space="preserve">Zitiervorschlag: 7c. BDLR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https://recht.nulegal.eu/gesetze/BDLR/7c.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