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BDGPNEDV — Übergangsvorschrift</w:t>
      </w:r>
    </w:p>
    <w:p>
      <w:r>
        <w:rPr>
          <w:color w:val="555555"/>
          <w:sz w:val="18"/>
        </w:rPr>
        <w:t xml:space="preserve">Verordnung zur Durchführung des Bundesdisziplinargesetzes bei der Bundesanstalt für Post und Telekommunikation Deutsche Bundespost und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Behördliche oder gerichtliche Disziplinarverfahren, die vor dem Inkrafttreten dieser Verordnung eingeleitet worden sind, werden nach bisherigem Recht fortgeführt.</w:t>
      </w:r>
    </w:p>
    <w:p>
      <w:r>
        <w:rPr>
          <w:color w:val="555555"/>
          <w:sz w:val="17"/>
        </w:rPr>
        <w:t xml:space="preserve">Zitiervorschlag: § 2 BDGPNEDV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https://recht.nulegal.eu/gesetze/BDGPNEDV/2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