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BDGPNEDV — Zuständigkeitsübertragung</w:t>
      </w:r>
    </w:p>
    <w:p>
      <w:r>
        <w:rPr>
          <w:color w:val="555555"/>
          <w:sz w:val="18"/>
        </w:rPr>
        <w:t xml:space="preserve">Verordnung zur Durchführung des Bundesdisziplinargesetzes bei der Bundesanstalt für Post und Telekommunikation Deutsche Bundespost und der Museumsstiftung Post und Telekommunikation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Es werden übertragen die Befugnisse des Bundesministeriums der Finanzen als oberste Dienstbehörde</w:t>
      </w:r>
    </w:p>
    <w:p>
      <w:pPr>
        <w:ind w:left="420"/>
      </w:pPr>
      <w:r>
        <w:t xml:space="preserve">1. der Beamtinnen und Beamten der Bundesanstalt für Post und Telekommunikation Deutsche Bundespost auf die Präsidentin oder den Präsidenten der Bundesanstalt für Post und Telekommunikation Deutsche Bundespost und</w:t>
      </w:r>
    </w:p>
    <w:p>
      <w:pPr>
        <w:ind w:left="420"/>
      </w:pPr>
      <w:r>
        <w:t xml:space="preserve">2. der Beamtinnen und Beamten der Museumsstiftung Post und Telekom auf das Kuratorium der Museumsstiftung Post und Telekommunikation.</w:t>
      </w:r>
    </w:p>
    <w:p>
      <w:r>
        <w:t xml:space="preserve">(2) Absatz 1 gilt nicht</w:t>
      </w:r>
    </w:p>
    <w:p>
      <w:pPr>
        <w:ind w:left="420"/>
      </w:pPr>
      <w:r>
        <w:t xml:space="preserve">1. für die Beamtinnen und Beamten der Bundesanstalt für Post und Telekommunikation Deutsche Bundespost in Ämtern oberhalb der Besoldungsgruppe A 16 sowie für die Präsidentin oder den Präsidenten der Bundesanstalt für Post und Telekommunikation Deutsche Bundespost und</w:t>
      </w:r>
    </w:p>
    <w:p>
      <w:pPr>
        <w:ind w:left="420"/>
      </w:pPr>
      <w:r>
        <w:t xml:space="preserve">2. für die Beamtinnen und Beamten der Museumsstiftung Post und Telekom in Ämtern oberhalb der Besoldungsgruppe A 13 sowie für die Kuratorin oder den Kurator der Museumsstiftung Post und Telekommunikation.</w:t>
      </w:r>
    </w:p>
    <w:p>
      <w:r>
        <w:t xml:space="preserve">(3) Das Bundesministerium der Finanzen behält sich vor, die Befugnisse im Einzelfall selbst wahrzunehmen.</w:t>
      </w:r>
    </w:p>
    <w:p>
      <w:r>
        <w:rPr>
          <w:color w:val="555555"/>
          <w:sz w:val="17"/>
        </w:rPr>
        <w:t xml:space="preserve">Zitiervorschlag: § 1 BDGPNEDV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https://recht.nulegal.eu/gesetze/BDGPNEDV/1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