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BDGMinIAnO</w:t>
      </w:r>
    </w:p>
    <w:p>
      <w:r>
        <w:rPr>
          <w:color w:val="555555"/>
          <w:sz w:val="18"/>
        </w:rPr>
        <w:t xml:space="preserve">Anordnung zur Durchführung des Bundesdisziplinargesetzes für den Geschäftsbereich des Bundesministeriums des Innern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33 Abs. 5, des § 34 Abs. 2 Satz 2, des § 42 Abs. 1 Satz 2 und des § 84 Satz 2 des Bundesdisziplinargesetzes vom 9. Juli 2001 (BGBl. I S. 1510) ordne ich an:</w:t>
      </w:r>
    </w:p>
    <w:p>
      <w:r>
        <w:rPr>
          <w:color w:val="555555"/>
          <w:sz w:val="17"/>
        </w:rPr>
        <w:t xml:space="preserve">Zitiervorschlag: Eingangsformel BDGMinIAnO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https://recht.nulegal.eu/gesetze/BDGMinIAnO/eingangsformel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