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1. BDGMinIAnO</w:t>
      </w:r>
    </w:p>
    <w:p>
      <w:r>
        <w:rPr>
          <w:color w:val="555555"/>
          <w:sz w:val="18"/>
        </w:rPr>
        <w:t xml:space="preserve">Anordnung zur Durchführung des Bundesdisziplinargesetzes für den Geschäftsbereich des Bundesministeriums des Innern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Leiterinnen und Leitern der Behörden des Geschäftsbereichs werden für die ihnen nachgeordneten Beamtinnen und Beamten folgende Befugnisse übertragen:</w:t>
      </w:r>
    </w:p>
    <w:p>
      <w:pPr>
        <w:ind w:left="420"/>
      </w:pPr>
      <w:r>
        <w:t xml:space="preserve">a) Festsetzung der Kürzung der Dienstbezüge gemäß § 33 Abs. 3 Nr. 1,</w:t>
      </w:r>
    </w:p>
    <w:p>
      <w:pPr>
        <w:ind w:left="420"/>
      </w:pPr>
      <w:r>
        <w:t xml:space="preserve">b) Erhebung der Disziplinarklage bei Beamtinnen und Beamten des einfachen, mittleren, gehobenen und höheren Dienstes gemäß § 34 Abs. 2 Satz 1,</w:t>
      </w:r>
    </w:p>
    <w:p>
      <w:pPr>
        <w:ind w:left="420"/>
      </w:pPr>
      <w:r>
        <w:t xml:space="preserve">c) Ausübung der Disziplinarbefugnisse bei Ruhestandsbeamtinnen und Ruhestandsbeamten gemäß § 84.</w:t>
      </w:r>
    </w:p>
    <w:p>
      <w:r>
        <w:rPr>
          <w:color w:val="555555"/>
          <w:sz w:val="17"/>
        </w:rPr>
        <w:t xml:space="preserve">Zitiervorschlag: 1. BDGMinIAnO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https://recht.nulegal.eu/gesetze/BDGMinIAnO/1.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