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BDGBMinGAnO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Gesundheit und Soziale 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 zur Festsetzung der Kürzung von Dienstbezügen nach § 33 Abs. 3 Nr. 1 des Bundesdisziplinargesetzes wird gemäß § 33 Abs. 5 des Bundesdisziplinargesetzes auf die in Abschnitt I genannten Dienstvorgesetzten übertragen.</w:t>
      </w:r>
    </w:p>
    <w:p>
      <w:r>
        <w:rPr>
          <w:color w:val="555555"/>
          <w:sz w:val="17"/>
        </w:rPr>
        <w:t xml:space="preserve">Zitiervorschlag: II. BDGBMinGAnO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https://recht.nulegal.eu/gesetze/BDGBMinGAnO/ii.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BDGBMinGAnO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