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81 BDG — Begnadigung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Bundespräsidenten steht das Begnadigungsrecht in Disziplinarsachen nach diesem Gesetz zu. Er kann es anderen Stellen übertragen.</w:t>
      </w:r>
    </w:p>
    <w:p>
      <w:r>
        <w:t xml:space="preserve">(2) Wird die Entfernung aus dem Beamtenverhältnis oder die Aberkennung des Ruhegehalts im Gnadenweg aufgehoben, gilt § 43 Satz 2 des Bundesbeamtengesetzes entsprechend.</w:t>
      </w:r>
    </w:p>
    <w:p>
      <w:r>
        <w:rPr>
          <w:color w:val="555555"/>
          <w:sz w:val="17"/>
        </w:rPr>
        <w:t xml:space="preserve">Zitiervorschlag: § 81 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https://recht.nulegal.eu/gesetze/BDG/81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