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BDG — Kostentragung und erstattungsfähige Kosten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Kostentragungspflicht der Beteiligten und die Erstattungsfähigkeit von Kosten gelten die Bestimmungen der Verwaltungsgerichtsordnung entsprechend, sofern sich aus den nachfolgenden Vorschriften nichts anderes ergibt.</w:t>
      </w:r>
    </w:p>
    <w:p>
      <w:r>
        <w:t xml:space="preserve">(2) Wird eine Disziplinarverfügung trotz Vorliegens eines Dienstvergehens aufgehoben, können die Kosten ganz oder teilweise dem Beamten auferlegt werden.</w:t>
      </w:r>
    </w:p>
    <w:p>
      <w:r>
        <w:t xml:space="preserve">(3) In Verfahren über den Antrag auf gerichtliche Fristsetzung (§ 62) hat das Gericht zugleich mit der Entscheidung über den Fristsetzungsantrag über die Kosten des Verfahrens zu befinden.</w:t>
      </w:r>
    </w:p>
    <w:p>
      <w:r>
        <w:t xml:space="preserve">(4) Kosten im Sinne dieser Vorschrift sind auch die Kosten des behördlichen Disziplinarverfahrens.</w:t>
      </w:r>
    </w:p>
    <w:p>
      <w:r>
        <w:rPr>
          <w:color w:val="555555"/>
          <w:sz w:val="17"/>
        </w:rPr>
        <w:t xml:space="preserve">Zitiervorschlag: § 77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