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BDG — Statthaftigkeit, Form und Frist der Beschwerde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Für die Statthaftigkeit, Form und Frist der Beschwerde gelten die §§ 146 und 147 der Verwaltungsgerichtsordnung.</w:t>
      </w:r>
    </w:p>
    <w:p>
      <w:r>
        <w:t xml:space="preserve">(2) Für das Beschwerdeverfahren gegen Beschlüsse des Verwaltungsgerichts über eine Aussetzung nach § 63 gilt § 146 Abs. 4 der Verwaltungsgerichtsordnung entsprechend.</w:t>
      </w:r>
    </w:p>
    <w:p>
      <w:r>
        <w:rPr>
          <w:color w:val="555555"/>
          <w:sz w:val="17"/>
        </w:rPr>
        <w:t xml:space="preserve">Zitiervorschlag: § 67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