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64 BDG — Statthaftigkeit, Form und Frist der Berufung</w:t>
      </w:r>
    </w:p>
    <w:p>
      <w:r>
        <w:rPr>
          <w:color w:val="555555"/>
          <w:sz w:val="18"/>
        </w:rPr>
        <w:t xml:space="preserve">Bundesdisziplinargesetz</w:t>
      </w:r>
    </w:p>
    <w:p>
      <w:r>
        <w:rPr>
          <w:color w:val="555555"/>
          <w:sz w:val="18"/>
        </w:rPr>
        <w:t xml:space="preserve">Stand: 01.04.2024 (konsolidierte Textfassung, kein amtliches Inkrafttretensdatum)</w:t>
      </w:r>
    </w:p>
    <w:p>
      <w:r>
        <w:t xml:space="preserve">Gegen das Urteil des Verwaltungsgerichts steht den Beteiligten die Berufung zu, wenn sie von dem Verwaltungsgericht oder dem Oberverwaltungsgericht zugelassen wird. Die §§ 124 und 124a der Verwaltungsgerichtsordnung sind anzuwenden.</w:t>
      </w:r>
    </w:p>
    <w:p>
      <w:r>
        <w:rPr>
          <w:color w:val="555555"/>
          <w:sz w:val="17"/>
        </w:rPr>
        <w:t xml:space="preserve">Zitiervorschlag: § 64 BDG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https://recht.nulegal.eu/gesetze/BDG/64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