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BDG — Belehrung der Beamten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Außer Kraft: § 54 ist seit 01.04.2024 nicht mehr im BDG enthalten. Angezeigt wird die letzte bekannte Fassung, Stand 10.06.2019.</w:t>
      </w:r>
    </w:p>
    <w:p>
      <w:r>
        <w:t xml:space="preserve">Der Beamte ist durch den Vorsitzenden gleichzeitig mit der Zustellung der Disziplinarklage oder der Nachtragsdisziplinarklage auf die Fristen des § 55 Abs. 1 und des § 58 Abs. 2 sowie auf die Folgen der Fristversäumung hinzuweisen.</w:t>
      </w:r>
    </w:p>
    <w:p>
      <w:r>
        <w:rPr>
          <w:color w:val="555555"/>
          <w:sz w:val="17"/>
        </w:rPr>
        <w:t xml:space="preserve">Zitiervorschlag: § 54 BDG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