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BDG — Senate für Disziplinarsachen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Senat für Disziplinarsachen des Oberverwaltungsgerichts gelten § 46 Abs. 1 und 3 sowie die §§ 47 bis 50 entsprechend.</w:t>
      </w:r>
    </w:p>
    <w:p>
      <w:r>
        <w:t xml:space="preserve">(2) Für das Bundesverwaltungsgericht gilt § 48 Abs. 1 entsprechend.</w:t>
      </w:r>
    </w:p>
    <w:p>
      <w:r>
        <w:rPr>
          <w:color w:val="555555"/>
          <w:sz w:val="17"/>
        </w:rPr>
        <w:t xml:space="preserve">Zitiervorschlag: § 51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