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BDG — Entbindung vom Amt des Beamtenbeisitzers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Beamtenbeisitzer ist von seinem Amt zu entbinden, wenn</w:t>
      </w:r>
    </w:p>
    <w:p>
      <w:pPr>
        <w:ind w:left="420"/>
      </w:pPr>
      <w:r>
        <w:t xml:space="preserve">1. er im Strafverfahren rechtskräftig zu einer Freiheits-strafe verurteilt worden ist,</w:t>
      </w:r>
    </w:p>
    <w:p>
      <w:pPr>
        <w:ind w:left="420"/>
      </w:pPr>
      <w:r>
        <w:t xml:space="preserve">2. im Disziplinarverfahren gegen ihn unanfechtbar eine Disziplinarmaßnahme mit Ausnahme eines Verweises ausgesprochen worden ist,</w:t>
      </w:r>
    </w:p>
    <w:p>
      <w:pPr>
        <w:ind w:left="420"/>
      </w:pPr>
      <w:r>
        <w:t xml:space="preserve">3. er in ein Amt außerhalb der Bezirke, für die das Gericht zuständig ist, versetzt wird,</w:t>
      </w:r>
    </w:p>
    <w:p>
      <w:pPr>
        <w:ind w:left="420"/>
      </w:pPr>
      <w:r>
        <w:t xml:space="preserve">4. das Beamtenverhältnis endet oder</w:t>
      </w:r>
    </w:p>
    <w:p>
      <w:pPr>
        <w:ind w:left="420"/>
      </w:pPr>
      <w:r>
        <w:t xml:space="preserve">5. die Voraussetzungen für das Amt des Beamtenbeisitzers nach § 47 Abs. 1 bei ihrer Auswahl oder Bestellung nicht vorlagen.</w:t>
      </w:r>
    </w:p>
    <w:p>
      <w:r>
        <w:t xml:space="preserve">(2) In besonderen Härtefällen kann der Beamtenbeisitzer auch auf Antrag von der weiteren Ausübung des Amts entbunden werden.</w:t>
      </w:r>
    </w:p>
    <w:p>
      <w:r>
        <w:t xml:space="preserve">(3) Für die Entscheidung gilt § 24 Abs. 3 der Verwaltungsgerichtsordnung entsprechend.</w:t>
      </w:r>
    </w:p>
    <w:p>
      <w:r>
        <w:rPr>
          <w:color w:val="555555"/>
          <w:sz w:val="17"/>
        </w:rPr>
        <w:t xml:space="preserve">Zitiervorschlag: § 50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