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BDG — Arten der Disziplinarmaßnahmen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Disziplinarmaßnahmen gegen Beamte sind:</w:t>
      </w:r>
    </w:p>
    <w:p>
      <w:pPr>
        <w:ind w:left="420"/>
      </w:pPr>
      <w:r>
        <w:t xml:space="preserve">1. Verweis (§ 6)</w:t>
      </w:r>
    </w:p>
    <w:p>
      <w:pPr>
        <w:ind w:left="420"/>
      </w:pPr>
      <w:r>
        <w:t xml:space="preserve">2. Geldbuße (§ 7)</w:t>
      </w:r>
    </w:p>
    <w:p>
      <w:pPr>
        <w:ind w:left="420"/>
      </w:pPr>
      <w:r>
        <w:t xml:space="preserve">3. Kürzung der Dienstbezüge (§ 8)</w:t>
      </w:r>
    </w:p>
    <w:p>
      <w:pPr>
        <w:ind w:left="420"/>
      </w:pPr>
      <w:r>
        <w:t xml:space="preserve">4. Zurückstufung (§ 9) und</w:t>
      </w:r>
    </w:p>
    <w:p>
      <w:pPr>
        <w:ind w:left="420"/>
      </w:pPr>
      <w:r>
        <w:t xml:space="preserve">5. Entfernung aus dem Beamtenverhältnis (§ 10).</w:t>
      </w:r>
    </w:p>
    <w:p>
      <w:r>
        <w:t xml:space="preserve">(2) Disziplinarmaßnahmen gegen Ruhestandsbeamte sind:</w:t>
      </w:r>
    </w:p>
    <w:p>
      <w:pPr>
        <w:ind w:left="420"/>
      </w:pPr>
      <w:r>
        <w:t xml:space="preserve">1. Kürzung des Ruhegehalts (§ 11) und</w:t>
      </w:r>
    </w:p>
    <w:p>
      <w:pPr>
        <w:ind w:left="420"/>
      </w:pPr>
      <w:r>
        <w:t xml:space="preserve">2. Aberkennung des Ruhegehalts (§ 12).</w:t>
      </w:r>
    </w:p>
    <w:p>
      <w:r>
        <w:t xml:space="preserve">(3) Beamten auf Probe und Beamten auf Widerruf können nur Verweise erteilt und Geldbußen auferlegt werden. Für die Entlassung von Beamten auf Probe und Beamten auf Widerruf wegen eines Dienstvergehens gelten § 34 Abs. 1 Nr. 1 und Abs. 3 sowie § 37 des Bundesbeamtengesetzes.</w:t>
      </w:r>
    </w:p>
    <w:p>
      <w:r>
        <w:rPr>
          <w:color w:val="555555"/>
          <w:sz w:val="17"/>
        </w:rPr>
        <w:t xml:space="preserve">Zitiervorschlag: § 5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