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BDG — Kostentragungspflicht</w:t>
      </w:r>
    </w:p>
    <w:p>
      <w:r>
        <w:rPr>
          <w:color w:val="555555"/>
          <w:sz w:val="18"/>
        </w:rPr>
        <w:t xml:space="preserve">Bundesdisziplinargesetz</w:t>
      </w:r>
    </w:p>
    <w:p>
      <w:r>
        <w:rPr>
          <w:color w:val="555555"/>
          <w:sz w:val="18"/>
        </w:rPr>
        <w:t xml:space="preserve">Stand: 02.10.2019 (konsolidierte Textfassung, kein amtliches Inkrafttretensdatum)</w:t>
      </w:r>
    </w:p>
    <w:p>
      <w:r>
        <w:t xml:space="preserve">(1) Im Widerspruchsverfahren trägt der unterliegende Teil die entstandenen Auslagen. Hat der Widerspruch teilweise Erfolg, sind die Auslagen im Verhältnis zu teilen. Wird eine Disziplinarverfügung trotz des Vorliegens eines Dienstvergehens aufgehoben, können die Auslagen ganz oder teilweise dem Beamten auferlegt werden.</w:t>
      </w:r>
    </w:p>
    <w:p>
      <w:r>
        <w:t xml:space="preserve">(2) Nimmt der Beamte den Widerspruch zurück, trägt er die entstandenen Auslagen.</w:t>
      </w:r>
    </w:p>
    <w:p>
      <w:r>
        <w:t xml:space="preserve">(3) Erledigt sich das Widerspruchsverfahren in der Hauptsache auf andere Weise, ist über die entstandenen Auslagen nach billigem Ermessen zu entscheiden.</w:t>
      </w:r>
    </w:p>
    <w:p>
      <w:r>
        <w:t xml:space="preserve">(4) § 37 Abs. 4 gilt entsprechend.</w:t>
      </w:r>
    </w:p>
    <w:p>
      <w:r>
        <w:rPr>
          <w:color w:val="555555"/>
          <w:sz w:val="17"/>
        </w:rPr>
        <w:t xml:space="preserve">Zitiervorschlag: § 44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