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BDG — Disziplinarbefugnisse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(1) Jeder Dienstvorgesetzte ist zur Verhängung von Verweisen und Geldbußen gegen die ihm unterstellten Beamten befugt.</w:t>
      </w:r>
    </w:p>
    <w:p>
      <w:r>
        <w:t xml:space="preserve">(2) Kürzungen der Dienstbezüge können festsetzen:</w:t>
      </w:r>
    </w:p>
    <w:p>
      <w:pPr>
        <w:ind w:left="420"/>
      </w:pPr>
      <w:r>
        <w:t xml:space="preserve">1. die oberste Dienstbehörde bis zum Höchstmaß und</w:t>
      </w:r>
    </w:p>
    <w:p>
      <w:pPr>
        <w:ind w:left="420"/>
      </w:pPr>
      <w:r>
        <w:t xml:space="preserve">2. die der obersten Dienstbehörde unmittelbar nachgeordneten Dienstvorgesetzten bis zu einer Kürzung um 20 Prozent auf zwei Jahre.</w:t>
      </w:r>
    </w:p>
    <w:p>
      <w:r>
        <w:t xml:space="preserve">(3) Kürzungen des Ruhegehalts bis zum Höchstmaß können die nach § 84 zur Ausübung der Disziplinarbefugnisse zuständigen Dienstvorgesetzten festsetzen.</w:t>
      </w:r>
    </w:p>
    <w:p>
      <w:r>
        <w:t xml:space="preserve">(4) Die Zurückstufung oder die Entfernung aus dem Beamtenverhältnis wird durch die oberste Dienstbehörde, die Aberkennung des Ruhegehalts durch die nach § 84 zur Ausübung der Disziplinarbefugnisse zuständigen Dienstvorgesetzten ausgesprochen.</w:t>
      </w:r>
    </w:p>
    <w:p>
      <w:r>
        <w:t xml:space="preserve">(5) Die oberste Dienstbehörde kann durch allgemeine Anordnung ihre Befugnisse nach Absatz 2 Nummer 1 ganz oder teilweise auf nachgeordnete Dienstvorgesetzte und ihre Befugnisse nach Absatz 4 auf unmittelbar nachgeordnete Dienstvorgesetzte übertragen. Die Anordnung ist im Bundesgesetzblatt zu veröffentlichen. § 17 Absatz 1 Satz 2 zweiter Teilsatz sowie Absatz 3 und 4 gilt entsprechend.</w:t>
      </w:r>
    </w:p>
    <w:p>
      <w:r>
        <w:rPr>
          <w:color w:val="555555"/>
          <w:sz w:val="17"/>
        </w:rPr>
        <w:t xml:space="preserve">Zitiervorschlag: § 34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