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BDG — Ergänzende Anwendung des Verwaltungsverfahrensgesetzes und der Verwaltungsgerichtsordnung</w:t>
      </w:r>
    </w:p>
    <w:p>
      <w:r>
        <w:rPr>
          <w:color w:val="555555"/>
          <w:sz w:val="18"/>
        </w:rPr>
        <w:t xml:space="preserve">Bundesdisziplinargesetz</w:t>
      </w:r>
    </w:p>
    <w:p>
      <w:r>
        <w:rPr>
          <w:color w:val="555555"/>
          <w:sz w:val="18"/>
        </w:rPr>
        <w:t xml:space="preserve">Stand: 10.06.2019 (konsolidierte Textfassung, kein amtliches Inkrafttretensdatum)</w:t>
      </w:r>
    </w:p>
    <w:p>
      <w:r>
        <w:t xml:space="preserve">Zur Ergänzung dieses Gesetzes sind die Bestimmungen des Verwaltungsverfahrensgesetzes und der Verwaltungsgerichtsordnung entsprechend anzuwenden, soweit sie nicht zu den Bestimmungen dieses Gesetzes in Widerspruch stehen oder soweit nicht in diesem Gesetz etwas anderes bestimmt ist.</w:t>
      </w:r>
    </w:p>
    <w:p>
      <w:r>
        <w:rPr>
          <w:color w:val="555555"/>
          <w:sz w:val="17"/>
        </w:rPr>
        <w:t xml:space="preserve">Zitiervorschlag: § 3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