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BDG — Pflicht zur Durchführung von Ermittlungen, Ausnahmen</w:t>
      </w:r>
    </w:p>
    <w:p>
      <w:r>
        <w:rPr>
          <w:color w:val="555555"/>
          <w:sz w:val="18"/>
        </w:rPr>
        <w:t xml:space="preserve">Bundesdisziplinargesetz</w:t>
      </w:r>
    </w:p>
    <w:p>
      <w:r>
        <w:rPr>
          <w:color w:val="555555"/>
          <w:sz w:val="18"/>
        </w:rPr>
        <w:t xml:space="preserve">Stand: 10.06.2019 (konsolidierte Textfassung, kein amtliches Inkrafttretensdatum)</w:t>
      </w:r>
    </w:p>
    <w:p>
      <w:r>
        <w:t xml:space="preserve">(1) Zur Aufklärung des Sachverhalts sind die erforderlichen Ermittlungen durchzuführen. Dabei sind die belastenden, die entlastenden und die Umstände zu ermitteln, die für die Bemessung einer Disziplinarmaßnahme bedeutsam sind. Der höhere Dienstvorgesetzte und die oberste Dienstbehörde können die Ermittlungen an sich ziehen.</w:t>
      </w:r>
    </w:p>
    <w:p>
      <w:r>
        <w:t xml:space="preserve">(2) Von Ermittlungen ist abzusehen, soweit der Sachverhalt auf Grund der tatsächlichen Feststellungen eines rechtskräftigen Urteils im Straf- oder Bußgeldverfahren oder im verwaltungsgerichtlichen Verfahren, durch das nach § 9 des Bundesbesoldungsgesetzes über den Verlust der Besoldung bei schuldhaftem Fernbleiben vom Dienst entschieden worden ist, feststeht. Von Ermittlungen kann auch abgesehen werden, soweit der Sachverhalt auf sonstige Weise aufgeklärt ist, insbesondere nach der Durchführung eines anderen gesetzlich geordneten Verfahrens.</w:t>
      </w:r>
    </w:p>
    <w:p>
      <w:r>
        <w:rPr>
          <w:color w:val="555555"/>
          <w:sz w:val="17"/>
        </w:rPr>
        <w:t xml:space="preserve">Zitiervorschlag: § 21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