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BDG — Disziplinarmaßnahmeverbot wegen Zeitablaufs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Es darf nicht mehr ausgesprochen werden:</w:t>
      </w:r>
    </w:p>
    <w:p>
      <w:pPr>
        <w:ind w:left="420"/>
      </w:pPr>
      <w:r>
        <w:t xml:space="preserve">1. ein Verweis, wenn seit der Vollendung eines Dienstvergehens mehr als zwei Jahre vergangen sind,</w:t>
      </w:r>
    </w:p>
    <w:p>
      <w:pPr>
        <w:ind w:left="420"/>
      </w:pPr>
      <w:r>
        <w:t xml:space="preserve">2. eine Geldbuße oder eine Kürzung der Dienstbezüge oder des Ruhegehalts, wenn seit der Vollendung eines Dienstvergehens mehr als drei Jahre vergangen sind, und</w:t>
      </w:r>
    </w:p>
    <w:p>
      <w:pPr>
        <w:ind w:left="420"/>
      </w:pPr>
      <w:r>
        <w:t xml:space="preserve">3. eine Zurückstufung, wenn seit der Vollendung eines Dienstvergehens mehr als sieben Jahre vergangen sind.</w:t>
      </w:r>
    </w:p>
    <w:p>
      <w:r>
        <w:t xml:space="preserve">(2) Bei Dienstvergehen gegen die Pflichten aus § 60 Absatz 1 Satz 3 oder Absatz 2 des Bundesbeamtengesetzes beträgt die Frist nach Absatz 1 Nummer 1 vier, nach Absatz 1 Nummer 2 sechs und nach Absatz 1 Nummer 3 acht Jahre.</w:t>
      </w:r>
    </w:p>
    <w:p>
      <w:r>
        <w:t xml:space="preserve">(3) Die Fristen der Absätze 1 und 2 werden durch die Einleitung oder Ausdehnung des Disziplinarverfahrens, den Erlass einer Disziplinarverfügung oder die Anordnung oder Ausdehnung von Ermittlungen gegen Beamte auf Probe und Beamte auf Widerruf nach § 34 Absatz 3 Satz 2 und § 37 Absatz 1 in Verbindung mit § 34 Absatz 3 Satz 1 des Bundesbeamtengesetzes unterbrochen.</w:t>
      </w:r>
    </w:p>
    <w:p>
      <w:r>
        <w:t xml:space="preserve">(4) Die Fristen der Absätze 1 und 2 sind für die Dauer des Widerspruchsverfahrens, des gerichtlichen Verfahrens, einer Aussetzung des Disziplinarverfahrens nach § 22 oder der Mitwirkung des Personalrats gehemmt. Ist vor Ablauf der Frist wegen desselben Sachverhalts ein Straf- oder Bußgeldverfahren eingeleitet oder eine Klage aus dem Beamtenverhältnis erhoben worden, ist die Frist für die Dauer dieses Verfahrens gehemmt.</w:t>
      </w:r>
    </w:p>
    <w:p>
      <w:r>
        <w:rPr>
          <w:color w:val="555555"/>
          <w:sz w:val="17"/>
        </w:rPr>
        <w:t xml:space="preserve">Zitiervorschlag: § 15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