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BDBOSZertV — Zertifikat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Endgerät wird zertifiziert, wenn es die in § 15a Absatz 1 Satz 3 des BDBOS-Gesetzes genannten Anforderungen erfüllt.</w:t>
      </w:r>
    </w:p>
    <w:p>
      <w:r>
        <w:t xml:space="preserve">(2) Das Zertifikat umfasst mindestens folgende Angaben:</w:t>
      </w:r>
    </w:p>
    <w:p>
      <w:pPr>
        <w:ind w:left="420"/>
      </w:pPr>
      <w:r>
        <w:t xml:space="preserve">1. Bezeichnung des Endgerätes nach § 2 Absatz 1 Satz 4 Nummer 5 Buchstabe a bis e,</w:t>
      </w:r>
    </w:p>
    <w:p>
      <w:pPr>
        <w:ind w:left="420"/>
      </w:pPr>
      <w:r>
        <w:t xml:space="preserve">2. Leistungsmerkmale des Endgerätes, die Gegenstand der Zertifizierung sind,</w:t>
      </w:r>
    </w:p>
    <w:p>
      <w:pPr>
        <w:ind w:left="420"/>
      </w:pPr>
      <w:r>
        <w:t xml:space="preserve">3. Version der BOS-IOP-Richtlinien und der Systemtechnik, die der Zertifizierung zugrunde liegen.</w:t>
      </w:r>
    </w:p>
    <w:p>
      <w:r>
        <w:t xml:space="preserve">(3) Dem Zertifikat für einen Bestandteil einer Funkleitstelle im Sinne des § 1 Satz 2 wird eine Auflistung beigefügt, die die Hardware- und Software-Komponenten aufführt, aus denen sich der Bestandteil zusammensetzt.</w:t>
      </w:r>
    </w:p>
    <w:p>
      <w:r>
        <w:t xml:space="preserve">(4) Bei einer Änderungszertifizierung kann sich das Zertifikat abweichend von Absatz 2 Nummer 2 auf das geänderte Leistungsmerkmal oder die sonstigen von der Änderung betroffenen Komponenten des Endgerätes beschränken. Die Änderungszertifizierung erfolgt in Form einer Ergänzung oder eines Nachtrags zum ursprünglichen Zertifikat.</w:t>
      </w:r>
    </w:p>
    <w:p>
      <w:r>
        <w:t xml:space="preserve">(5) Das Zertifikat kann mit Nebenbestimmungen versehen werden, insbesondere zur erneuten Überprüfung einzelner Leistungsmerkmale und zur Deaktivierung optionaler Leistungsmerkmale, die einer Verwendung des Endgerätes im Digitalfunk BOS entgegenstehen.</w:t>
      </w:r>
    </w:p>
    <w:p>
      <w:r>
        <w:t xml:space="preserve">(6) Die Erteilung des Zertifikats wird dem Antragsteller schriftlich bekannt gegeben. Die Erteilung des Zertifikats sowie die Angaben nach Absatz 2 Nummer 1 und 3 werden auf der Internetseite der Bundesanstalt veröffentlicht. Den Ansprechstellen, die der Bund und die Länder gegenüber der Bundesanstalt benannt haben, werden auch die übrigen in den Absätzen 2 bis 5 genannten Angaben zugänglich gemacht. Sachverständige Prüfstellen erhalten nur dann Zugang zu den in Satz 3 genannten Angaben, wenn sie ein berechtigtes Interesse nachweisen; zu einer Weitergabe dieser Angaben an Dritte sind sie nicht berechtigt. Ein Zugang ist ausgeschlossen, wenn ihm überwiegende öffentliche Interessen, insbesondere sicherheitspolitische Belange der Bundesrepublik Deutschland, entgegenstehen.</w:t>
      </w:r>
    </w:p>
    <w:p>
      <w:r>
        <w:rPr>
          <w:color w:val="555555"/>
          <w:sz w:val="17"/>
        </w:rPr>
        <w:t xml:space="preserve">Zitiervorschlag: § 9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