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BDBOSZertV — Änderungszertifizierung</w:t>
      </w:r>
    </w:p>
    <w:p>
      <w:r>
        <w:rPr>
          <w:color w:val="555555"/>
          <w:sz w:val="18"/>
        </w:rPr>
        <w:t xml:space="preserve">BDBOS-Zertifizierungsverordnung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Änderungszertifizierung kann nur erfolgen</w:t>
      </w:r>
    </w:p>
    <w:p>
      <w:pPr>
        <w:ind w:left="420"/>
      </w:pPr>
      <w:r>
        <w:t xml:space="preserve">1. beim Deaktivieren von Schnittstellen oder optionalen Leistungsmerkmalen,</w:t>
      </w:r>
    </w:p>
    <w:p>
      <w:pPr>
        <w:ind w:left="420"/>
      </w:pPr>
      <w:r>
        <w:t xml:space="preserve">2. bei der Aktivierung oder Umsetzung von optionalen Leistungsmerkmalen,</w:t>
      </w:r>
    </w:p>
    <w:p>
      <w:pPr>
        <w:ind w:left="420"/>
      </w:pPr>
      <w:r>
        <w:t xml:space="preserve">3. bei einer von der Bundesanstalt geforderten Anpassung, insbesondere zur Behebung von Sicherheitsmängeln, oder</w:t>
      </w:r>
    </w:p>
    <w:p>
      <w:pPr>
        <w:ind w:left="420"/>
      </w:pPr>
      <w:r>
        <w:t xml:space="preserve">4. bei einer Fehlerkorrektur</w:t>
      </w:r>
    </w:p>
    <w:p>
      <w:r>
        <w:t xml:space="preserve">und sofern gleichzeitig sichergestellt ist, dass das Endgerät auch weiterhin die Anforderungen nach § 15a Absatz 1 Satz 3 des BDBOS-Gesetzes erfüllt. Fehlerkorrektur ist das Herstellen eines Zustands des Endgerätes, der auf Grund der Kundendokumentation des Herstellers bereits zum Zeitpunkt der Zertifizierung vom Endgerät erwartet werden konnte.</w:t>
      </w:r>
    </w:p>
    <w:p>
      <w:r>
        <w:t xml:space="preserve">(2) Neben den in § 2 genannten Angaben ist in einem Antrag auf Änderungszertifizierung zusätzlich die Angabe erforderlich, welcher Änderungstatbestand im Sinne des Absatzes 1 Satz 1 Nummer 1 bis 4 vorliegt, welche Änderung an dem Endgerät vorgenommen wurde und welche technischen Auswirkungen mit der Änderung verbunden sind. Der Antrag auf Änderungszertifizierung ist vor Durchführung der Überprüfung nach § 7 zu stellen. Es ist nicht erforderlich, dem Antrag die in § 2 Absatz 1 Satz 4 Nummer 9 bis 11 genannten Unterlagen beizufügen.</w:t>
      </w:r>
    </w:p>
    <w:p>
      <w:r>
        <w:t xml:space="preserve">(3) Die Bundesanstalt teilt dem Antragsteller schriftlich mit, ob die Voraussetzungen für eine Änderungszertifizierung vorliegen und legt den Prüfungsumfang abschließend fest. Für die Durchführung der Überprüfung nach § 7 wird dem Antragsteller eine angemessene Frist eingeräumt.</w:t>
      </w:r>
    </w:p>
    <w:p>
      <w:r>
        <w:t xml:space="preserve">(4) Nach vier aufeinanderfolgenden Änderungszertifizierungen ist eine weitere Änderungszertifizierung ausgeschlossen.</w:t>
      </w:r>
    </w:p>
    <w:p>
      <w:r>
        <w:rPr>
          <w:color w:val="555555"/>
          <w:sz w:val="17"/>
        </w:rPr>
        <w:t xml:space="preserve">Zitiervorschlag: § 3 BDBOSZertV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https://recht.nulegal.eu/gesetze/BDBOSZertV/3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