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BDBOSG — Verwaltungsabkommen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Beteiligung der Länder am Digitalfunk BOS wird in einem Verwaltungsabkommen zwischen Bund und Ländern geregelt. Hierbei sollen insbesondere Bestimmungen getroffen werden über</w:t>
      </w:r>
    </w:p>
    <w:p>
      <w:pPr>
        <w:ind w:left="420"/>
      </w:pPr>
      <w:r>
        <w:t xml:space="preserve">1. die Grundsätze der Zusammenarbeit von Bund und Ländern,</w:t>
      </w:r>
    </w:p>
    <w:p>
      <w:pPr>
        <w:ind w:left="420"/>
      </w:pPr>
      <w:r>
        <w:t xml:space="preserve">2. die Beteiligung der Länder am Aufbau und Betrieb des Digitalfunk BOS, insbesondere über den Verwaltungsrat,</w:t>
      </w:r>
    </w:p>
    <w:p>
      <w:pPr>
        <w:ind w:left="420"/>
      </w:pPr>
      <w:r>
        <w:t xml:space="preserve">3. die Einzelheiten der Finanzierung des Digitalfunk BOS sowie zum Zweckvermögen und zur Finanzierung der Bundesanstalt (§ 9).</w:t>
      </w:r>
    </w:p>
    <w:p>
      <w:r>
        <w:rPr>
          <w:color w:val="555555"/>
          <w:sz w:val="17"/>
        </w:rPr>
        <w:t xml:space="preserve">Zitiervorschlag: § 7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