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BDBOSG — Begriffsbestimmungen</w:t>
      </w:r>
    </w:p>
    <w:p>
      <w:r>
        <w:rPr>
          <w:color w:val="555555"/>
          <w:sz w:val="18"/>
        </w:rPr>
        <w:t xml:space="preserve">BDBOS-Gesetz</w:t>
      </w:r>
    </w:p>
    <w:p>
      <w:r>
        <w:rPr>
          <w:color w:val="555555"/>
          <w:sz w:val="18"/>
        </w:rPr>
        <w:t xml:space="preserve">Stand: 29.12.2022 (konsolidierte Textfassung, kein amtliches Inkrafttretensdatum)</w:t>
      </w:r>
    </w:p>
    <w:p>
      <w:r>
        <w:t xml:space="preserve">(1) Verkehrsdaten im Sinne dieses Gesetzes sind Daten, die bei der Erbringung eines Telekommunikationsdienstes im Digitalfunk BOS im Zuständigkeitsbereich der Bundesanstalt entstehen. Die Verkehrsdaten umfassen</w:t>
      </w:r>
    </w:p>
    <w:p>
      <w:pPr>
        <w:ind w:left="420"/>
      </w:pPr>
      <w:r>
        <w:t xml:space="preserve">1. die Gerätenummer zur Identifikation eines Endgerätes,</w:t>
      </w:r>
    </w:p>
    <w:p>
      <w:pPr>
        <w:ind w:left="420"/>
      </w:pPr>
      <w:r>
        <w:t xml:space="preserve">2. den Identifizierungsdatensatz der im Endgerät befindlichen Sicherheitskarte oder Teile davon,</w:t>
      </w:r>
    </w:p>
    <w:p>
      <w:pPr>
        <w:ind w:left="420"/>
      </w:pPr>
      <w:r>
        <w:t xml:space="preserve">3. die Gruppenkennung,</w:t>
      </w:r>
    </w:p>
    <w:p>
      <w:pPr>
        <w:ind w:left="420"/>
      </w:pPr>
      <w:r>
        <w:t xml:space="preserve">4. die Basisstationskennung,</w:t>
      </w:r>
    </w:p>
    <w:p>
      <w:pPr>
        <w:ind w:left="420"/>
      </w:pPr>
      <w:r>
        <w:t xml:space="preserve">5. für jedes Endgerät Datum und Uhrzeit der Einbuchung und Ausbuchung aus einer Basisstation sowie erfolgloser Einbuchungsversuche,</w:t>
      </w:r>
    </w:p>
    <w:p>
      <w:pPr>
        <w:ind w:left="420"/>
      </w:pPr>
      <w:r>
        <w:t xml:space="preserve">6. den Beginn und das Ende der jeweiligen Verbindung nach Datum und Uhrzeit sowie</w:t>
      </w:r>
    </w:p>
    <w:p>
      <w:pPr>
        <w:ind w:left="420"/>
      </w:pPr>
      <w:r>
        <w:t xml:space="preserve">7. sonstige zum Aufbau und zur Aufrechterhaltung der Dienste im Digitalfunk BOS notwendige Daten.</w:t>
      </w:r>
    </w:p>
    <w:p>
      <w:r>
        <w:t xml:space="preserve">(2) Zuständige Stelle für den Betrieb des Digitalfunk BOS im Sinne dieses Gesetzes ist diejenige Stelle eines Landes oder des Bundes, die in ihrem Zuständigkeitsbereich die zentrale Schnittstelle zwischen der Betriebsorganisation der Bundesanstalt und der einsatztaktischen Nutzung des Digitalfunk BOS ist.</w:t>
      </w:r>
    </w:p>
    <w:p>
      <w:r>
        <w:t xml:space="preserve">(3) Nutzer des Digitalfunks BOS sind die zur Teilnahme am Digitalfunk BOS berechtigten Behörden und Organisationen mit Sicherheitsaufgaben nach § 2 Absatz 1 Satz 5 in Verbindung mit § 96 Absatz 4 Satz 1 Nummer 2 des Telekommunikationsgesetzes sowie die Bundeswehr.</w:t>
      </w:r>
    </w:p>
    <w:p>
      <w:r>
        <w:t xml:space="preserve">(4) Bereitstellungsdienstleistung im Sinne dieses Gesetzes für Zwecke von Aufgaben nach § 2 Absatz 1 ist die entgeltliche oder unentgeltliche Einräumung von Nutzungsrechten an Standorten für Basisstationen, Übertragungsstrecken und Netzelemente wie beispielsweise Konzentratoren sowie in diesem Zusammenhang notwendige Dienstleistungen.</w:t>
      </w:r>
    </w:p>
    <w:p>
      <w:r>
        <w:rPr>
          <w:color w:val="555555"/>
          <w:sz w:val="17"/>
        </w:rPr>
        <w:t xml:space="preserve">Zitiervorschlag: § 2a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