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BDBOSG — Weitere Vorschriften zur Übermittlung von Verkehrsdaten</w:t>
      </w:r>
    </w:p>
    <w:p>
      <w:r>
        <w:rPr>
          <w:color w:val="555555"/>
          <w:sz w:val="18"/>
        </w:rPr>
        <w:t xml:space="preserve">BDBOS-Gesetz</w:t>
      </w:r>
    </w:p>
    <w:p>
      <w:r>
        <w:rPr>
          <w:color w:val="555555"/>
          <w:sz w:val="18"/>
        </w:rPr>
        <w:t xml:space="preserve">Stand: 02.12.2019 (konsolidierte Textfassung, kein amtliches Inkrafttretensdatum)</w:t>
      </w:r>
    </w:p>
    <w:p>
      <w:r>
        <w:t xml:space="preserve">(1) Sind mit Verkehrsdaten, die übermittelt werden dürfen, weitere Verkehrsdaten von Nutzern oder Dritten so verbunden, dass eine Trennung nicht oder nur mit unvertretbarem Aufwand möglich ist, ist auch die Übermittlung dieser Daten zulässig; eine Verarbeitung dieser Daten durch den Empfänger ist unzulässig.</w:t>
      </w:r>
    </w:p>
    <w:p>
      <w:r>
        <w:t xml:space="preserve">(2) Die Übermittlung von Verkehrsdaten ist aktenkundig zu machen.</w:t>
      </w:r>
    </w:p>
    <w:p>
      <w:r>
        <w:rPr>
          <w:color w:val="555555"/>
          <w:sz w:val="17"/>
        </w:rPr>
        <w:t xml:space="preserve">Zitiervorschlag: § 22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