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BDBOSG — Beamtinnen und Beamte</w:t>
      </w:r>
    </w:p>
    <w:p>
      <w:r>
        <w:rPr>
          <w:color w:val="555555"/>
          <w:sz w:val="18"/>
        </w:rPr>
        <w:t xml:space="preserve">BDBOS-Gesetz</w:t>
      </w:r>
    </w:p>
    <w:p>
      <w:r>
        <w:rPr>
          <w:color w:val="555555"/>
          <w:sz w:val="18"/>
        </w:rPr>
        <w:t xml:space="preserve">Stand: 01.07.2020 (konsolidierte Textfassung, kein amtliches Inkrafttretensdatum)</w:t>
      </w:r>
    </w:p>
    <w:p>
      <w:r>
        <w:t xml:space="preserve">(1) Die Bundesanstalt besitzt Dienstherrnfähigkeit nach § 2 des Bundesbeamtengesetzes.</w:t>
      </w:r>
    </w:p>
    <w:p>
      <w:r>
        <w:t xml:space="preserve">(2) Die Bundesanstalt kann mit Zustimmung des Bundesministeriums des Innern, für Bau und Heimat ihre Befugnisse und Zuständigkeiten einschließlich der Entscheidung über Rechtsbehelfe auf den Gebieten der Besoldung, Beihilfe, Versorgung, Reise- und Umzugskosten, Trennungsgeld sowie die damit verbundene automatisierte Verarbeitung personenbezogener Daten ganz oder teilweise gegen Erstattung der Verwaltungskosten auf Behörden in den Geschäftsbereichen der Bundesministerien übertragen. Die Übertragung ist im Gemeinsamen Ministerialblatt bekannt zu machen.</w:t>
      </w:r>
    </w:p>
    <w:p>
      <w:r>
        <w:rPr>
          <w:color w:val="555555"/>
          <w:sz w:val="17"/>
        </w:rPr>
        <w:t xml:space="preserve">Zitiervorschlag: § 13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